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E1" w:rsidRPr="002442B4" w:rsidRDefault="005555E1" w:rsidP="005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9F9F9"/>
        </w:rPr>
      </w:pPr>
      <w:r w:rsidRPr="002442B4">
        <w:rPr>
          <w:rFonts w:ascii="Times New Roman" w:hAnsi="Times New Roman" w:cs="Times New Roman"/>
          <w:b/>
          <w:color w:val="FF0000"/>
          <w:sz w:val="24"/>
          <w:szCs w:val="24"/>
        </w:rPr>
        <w:t>Регламент предоставления услуг</w:t>
      </w:r>
    </w:p>
    <w:p w:rsidR="005555E1" w:rsidRDefault="005555E1" w:rsidP="005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hd w:val="clear" w:color="auto" w:fill="F9F9F9"/>
        </w:rPr>
      </w:pPr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9F9F9"/>
        </w:rPr>
        <w:t>1. Общие положения</w:t>
      </w:r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1.1. Настоящий Регламент определяет порядок и условия оказания Центром коллективного пользования «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Рентгеновская диагностика материалов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» (далее - ЦКП «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РДМ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») услуг по проведению научных исследований, измерений и испытаний (далее - услуг) внутренним и внешним Пользователям на имеющемся уникальном научном оборудовании 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КБГУ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 (далее - Оборудование)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.</w:t>
      </w:r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1.2. Внутренними Пользователями считаются исследователи, научные коллективы, сотрудники, аспиранты и студенты структурных подразделений 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КБГУ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.</w:t>
      </w:r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1.3. </w:t>
      </w:r>
      <w:proofErr w:type="gramStart"/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Внешними Пользователями являются юридические (вузы, учреждения, организации, коммерческие компании, производственные предприятия и т.д.) и физические лица (частные лица, предприниматели и т.д.).</w:t>
      </w:r>
      <w:proofErr w:type="gramEnd"/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1.4. </w:t>
      </w:r>
      <w:proofErr w:type="gramStart"/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Направления работ по областям наук: химия, физика, машиностроение, </w:t>
      </w: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нанотехнологии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, 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металлургия, энергетика, химическая технол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огия, химическая промышленность, инструментальная промышленность, горнодобывающая промышленность.</w:t>
      </w:r>
      <w:proofErr w:type="gramEnd"/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1.5. Регламент содержит описание процедур функционирования ЦКП в течение календарного года.</w:t>
      </w:r>
    </w:p>
    <w:p w:rsidR="005555E1" w:rsidRPr="0088434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1.6. Регламент предназначен для управления процессами предоставления научного и (или) технологического оборудования, необходимого методического обеспечения и услуг коллектива квалифицированных специалистов ЦКП Организации в общее пользование сторонним лицам с целями проведения перспективных научных исследований и подготовки (переподготовки) высококвалифицированных кадров.</w:t>
      </w:r>
    </w:p>
    <w:p w:rsidR="005555E1" w:rsidRDefault="005555E1" w:rsidP="005555E1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</w:pPr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1.7. </w:t>
      </w:r>
      <w:proofErr w:type="gramStart"/>
      <w:r w:rsidRPr="00884341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Регламент разработан в соответствии с Конституцией РФ, международными соглашениями, федеральными законами РФ, указами Президента РФ, постановлениями Правительства РФ, нормативными и инструктивными документами федеральных министерств, агентств и служб, конституциями и уставами субъектов РФ, законами субъектов РФ, указами глав субъектов РФ, постановлениями правительств субъектов РФ, нормативными и инструктивными документами министерств и ведомств субъектов РФ, внутренним локальными нормативными и распорядительными документами Организации,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 xml:space="preserve"> </w:t>
      </w:r>
      <w:r w:rsidRPr="00884341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9F9F9"/>
        </w:rPr>
        <w:t>Положением</w:t>
      </w:r>
      <w:proofErr w:type="gramEnd"/>
      <w:r w:rsidRPr="00884341"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9F9F9"/>
        </w:rPr>
        <w:t xml:space="preserve"> о ЦКП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  <w:shd w:val="clear" w:color="auto" w:fill="F9F9F9"/>
        </w:rPr>
        <w:t xml:space="preserve"> (ссылка)</w:t>
      </w:r>
      <w:r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9F9F9"/>
        </w:rPr>
        <w:t>.</w:t>
      </w:r>
    </w:p>
    <w:p w:rsidR="00E905FE" w:rsidRDefault="00E905FE">
      <w:bookmarkStart w:id="0" w:name="_GoBack"/>
      <w:bookmarkEnd w:id="0"/>
    </w:p>
    <w:sectPr w:rsidR="00E9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1"/>
    <w:rsid w:val="005555E1"/>
    <w:rsid w:val="00E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2017-04-10T11:04:00Z</dcterms:created>
  <dcterms:modified xsi:type="dcterms:W3CDTF">2017-04-10T11:04:00Z</dcterms:modified>
</cp:coreProperties>
</file>