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CA" w:rsidRPr="001C0305" w:rsidRDefault="00E07ACA" w:rsidP="00CB53BD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</w:pPr>
      <w:r w:rsidRPr="001C0305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Приказ Министерства образования и науки РФ от 2 декабря 2015 г. № 1399 </w:t>
      </w:r>
      <w:r w:rsidR="00CB53BD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br/>
      </w:r>
      <w:r w:rsidRPr="001C0305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"Об утверждении Плана мероприятий («дорожной карты») </w:t>
      </w:r>
      <w:r w:rsidR="00CB53BD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br/>
      </w:r>
      <w:bookmarkStart w:id="0" w:name="_GoBack"/>
      <w:bookmarkEnd w:id="0"/>
      <w:r w:rsidRPr="001C0305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образования”</w:t>
      </w:r>
    </w:p>
    <w:p w:rsidR="00E07ACA" w:rsidRPr="001C0305" w:rsidRDefault="00E07ACA" w:rsidP="00E07ACA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25 февраля 2016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0"/>
      <w:bookmarkEnd w:id="1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26 Федерального закона от 1 декабря 2014 г. 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 июня 2015 г. № 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приказываю: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 </w:t>
      </w:r>
      <w:hyperlink r:id="rId4" w:anchor="1000" w:history="1">
        <w:r w:rsidRPr="001C0305">
          <w:rPr>
            <w:rFonts w:ascii="Times New Roman" w:eastAsia="Times New Roman" w:hAnsi="Times New Roman" w:cs="Times New Roman"/>
            <w:color w:val="808080"/>
            <w:bdr w:val="none" w:sz="0" w:space="0" w:color="auto" w:frame="1"/>
            <w:lang w:eastAsia="ru-RU"/>
          </w:rPr>
          <w:t>План</w:t>
        </w:r>
      </w:hyperlink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 мероприятий («дорожную карту»)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«дорожная карта»).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2. Департаменту государственной политики в сфере защиты прав детей (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Сильянову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Е.А.), Департаменту государственной политики в сфере высшего образования (Соболеву А.Б.), Департаменту государственной политики в сфере подготовки рабочих кадров и ДПО (Золотаревой Н.М.), Департаменту государственной политики в сфере воспитания детей и молодежи (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Страдзе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А.Э.), Департаменту государственной политики в сфере общего образования (Зыряновой А.В.), Департаменту государственной службы, кадров и управления делами (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Голубовскому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В.Ю.), Департаменту управления сетью подведомственных организаций (Харченко А.И.), Департаменту информационной политики (Усачевой А.А) обеспечить выполнение мероприятий «дорожной карты».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января 2016 года.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Каганова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В.Ш.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292"/>
      </w:tblGrid>
      <w:tr w:rsidR="00E07ACA" w:rsidRPr="001C0305" w:rsidTr="00E07ACA">
        <w:tc>
          <w:tcPr>
            <w:tcW w:w="2500" w:type="pct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Д.В. Ливанов</w:t>
            </w:r>
          </w:p>
        </w:tc>
      </w:tr>
    </w:tbl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E07ACA" w:rsidRPr="001C0305" w:rsidRDefault="00E07ACA" w:rsidP="00E07A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03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</w:t>
      </w:r>
      <w:r w:rsidRPr="001C03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мероприятий («дорожная карта»)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</w:t>
      </w:r>
      <w:r w:rsidRPr="001C03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(утв. </w:t>
      </w:r>
      <w:hyperlink r:id="rId5" w:anchor="0" w:history="1">
        <w:r w:rsidRPr="001C0305">
          <w:rPr>
            <w:rFonts w:ascii="Times New Roman" w:eastAsia="Times New Roman" w:hAnsi="Times New Roman" w:cs="Times New Roman"/>
            <w:b/>
            <w:bCs/>
            <w:color w:val="808080"/>
            <w:bdr w:val="none" w:sz="0" w:space="0" w:color="auto" w:frame="1"/>
            <w:lang w:eastAsia="ru-RU"/>
          </w:rPr>
          <w:t>приказом</w:t>
        </w:r>
      </w:hyperlink>
      <w:r w:rsidRPr="001C03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Министерства образования и науки РФ от 2 декабря 2015 г. № 1399)</w:t>
      </w:r>
    </w:p>
    <w:p w:rsidR="00E07ACA" w:rsidRPr="001C0305" w:rsidRDefault="00E07ACA" w:rsidP="00E07A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03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I. Общие положения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1. План мероприятий («дорожная карта»)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 и находящихся в его ведении образовательных организаций (далее - объекты).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Целью «дорожной карты»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3. «Дорожной картой»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 г. № 599, определяются: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цели обеспечения доступности для инвалидов объектов и услуг;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значения показателей доступности для инвалидов объектов и услуг (на период 2016 - 2030 годов);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4. Целями реализации «дорожной карты» являются: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условий доступности для инвалидов объектов и услуг, а также оказание им при этом необходимой помощи в пределах полномочий, возложенных на 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установление показателей, позволяющих оценивать степень доступности для инвалидов объектов и услуг;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</w:t>
      </w:r>
      <w:proofErr w:type="gram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для инвалидов</w:t>
      </w:r>
      <w:proofErr w:type="gram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предоставляемых на них услуг;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по исключению с 1 июля 2016 г. 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наличие работников,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внесение в нормативные правовые акты 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организация работы по обеспечению предоставления услуг инвалидам, в том числе альтернативными методами;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7. Планируемое повышение значений показателей доступности объектов и услуг и сроки их достижения определены в «дорожной карте» исходя из норм: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1 декабря 2014 г. № 384-ФЗ «О федеральном бюджете на 2015 год и на плановый период 2016 и 2017 годов»;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1 декабря 2014 г. 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постановления Правительства Российской Федерации от 26 декабря 2014 г. № 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приказа Министерства регионального развития Российской Федерации от 27 декабря 2011 г. № 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8. Основные ожидаемые результаты реализации «дорожной карты» - увеличение доли доступных для инвалидов объектов в их общем количестве с 10% в 2015 году до 15% в 2020 году и 20% в 2030 году.</w:t>
      </w:r>
    </w:p>
    <w:p w:rsidR="001C0305" w:rsidRDefault="001C0305" w:rsidP="00E07A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ectPr w:rsidR="001C0305" w:rsidSect="0094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ACA" w:rsidRPr="001C0305" w:rsidRDefault="00E07ACA" w:rsidP="00E07A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03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II. Таблица повышения значений показателей доступности для инвалидов объектов и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5165"/>
        <w:gridCol w:w="1180"/>
        <w:gridCol w:w="505"/>
        <w:gridCol w:w="505"/>
        <w:gridCol w:w="505"/>
        <w:gridCol w:w="505"/>
        <w:gridCol w:w="505"/>
        <w:gridCol w:w="505"/>
        <w:gridCol w:w="505"/>
        <w:gridCol w:w="505"/>
        <w:gridCol w:w="4672"/>
      </w:tblGrid>
      <w:tr w:rsidR="00E07ACA" w:rsidRPr="001C0305" w:rsidTr="001C0305">
        <w:tc>
          <w:tcPr>
            <w:tcW w:w="0" w:type="auto"/>
            <w:vMerge w:val="restart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07ACA" w:rsidRPr="001C0305" w:rsidTr="001C0305">
        <w:tc>
          <w:tcPr>
            <w:tcW w:w="0" w:type="auto"/>
            <w:vMerge/>
            <w:vAlign w:val="center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0" w:type="auto"/>
            <w:vAlign w:val="center"/>
            <w:hideMark/>
          </w:tcPr>
          <w:p w:rsidR="00E07ACA" w:rsidRPr="001C0305" w:rsidRDefault="00E07ACA" w:rsidP="001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2030 год</w:t>
            </w:r>
          </w:p>
        </w:tc>
        <w:tc>
          <w:tcPr>
            <w:tcW w:w="0" w:type="auto"/>
            <w:vMerge/>
            <w:vAlign w:val="center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введенных с 1 июля 2016 г. 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Департамент государственной политики в сфере защиты прав детей Департамент управления сетью подведомственных организаций Департамент государственной политики в сфере высшего образования Департамент государственной политики в сфере общего образования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существующих объектов, которые в результате проведения после 1 июля 2016 г. 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 выделенные стоянки автотранспортных средств для инвалидов; сменные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кресла-коляски;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политики в сфере воспитания детей и молодежи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, от общего количества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предоставляемых услуг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образовательных организаций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 Департамент государственной службы, кадров и управления делами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тьютора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, от общего количества предоставляемых инвалидам услуг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государственной политики в сфере воспитания детей и молодежи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информационной политики Департамент государственной политики в сфере высшего образования Департамент государственной политики в сфере подготовки рабочих кадров и ДПО Департамент государственной политики в сфере общего образования Департамент государственной политики в сфере воспитания детей и молодежи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</w:tbl>
    <w:p w:rsidR="00E07ACA" w:rsidRPr="001C0305" w:rsidRDefault="00E07ACA" w:rsidP="00E07A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03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III. 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3502"/>
        <w:gridCol w:w="3349"/>
        <w:gridCol w:w="2838"/>
        <w:gridCol w:w="1804"/>
        <w:gridCol w:w="3314"/>
      </w:tblGrid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gridSpan w:val="5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Проведение паспортизации объектов и услуг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9 ноября 2015 г. 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 Минюстом России 8 декабря 2015 г., регистрационный № 40000) (далее - приказ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России)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управления сетью подведомственных организаций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1 квартал 2016 г.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паспортов доступности объектов и услуг, предусмотренных приказом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 по обеспечению доступности объектов, которые невозможно полностью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приказ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управления сетью подведомственных организаций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2016 - 2018 гг. (срок будет уточнен с учетом </w:t>
            </w: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 паспортизации)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доли объектов, на которых обеспечен доступ к местам оказания услуг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gridSpan w:val="5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государственной политики в сфере защиты прав детей Департамент государственной службы, кадров и управления делами Образовательные организации, находящиеся в ведении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2016 - 2018 гг.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Увеличение доли специалистов, прошедших обучение или инструктирование</w:t>
            </w:r>
          </w:p>
        </w:tc>
      </w:tr>
      <w:tr w:rsidR="00E07ACA" w:rsidRPr="001C0305" w:rsidTr="00E07ACA"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административных регламентов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по предоставлению государственных услуг на предмет наличия и достаточности в них положений об обеспечении доступности государственной услуги для инвалидов и в случае необходимости внесение в административные регламенты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необходимых изменений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Заинтересованные структурные подразделения </w:t>
            </w:r>
            <w:proofErr w:type="spellStart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3-4 кварталы 2016 г.</w:t>
            </w:r>
          </w:p>
        </w:tc>
        <w:tc>
          <w:tcPr>
            <w:tcW w:w="0" w:type="auto"/>
            <w:hideMark/>
          </w:tcPr>
          <w:p w:rsidR="00E07ACA" w:rsidRPr="001C0305" w:rsidRDefault="00E07ACA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05">
              <w:rPr>
                <w:rFonts w:ascii="Times New Roman" w:eastAsia="Times New Roman" w:hAnsi="Times New Roman" w:cs="Times New Roman"/>
                <w:lang w:eastAsia="ru-RU"/>
              </w:rPr>
              <w:t>Наличие в административных регламентах по предоставлению государственных услуг населению положений, предусматривающих обеспечение установленных федеральным законодательством условий доступности объектов и услуг для инвалидов</w:t>
            </w:r>
          </w:p>
        </w:tc>
      </w:tr>
    </w:tbl>
    <w:p w:rsidR="00E07ACA" w:rsidRPr="001C0305" w:rsidRDefault="00E07ACA" w:rsidP="00E07ACA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</w:pPr>
      <w:bookmarkStart w:id="2" w:name="review"/>
      <w:bookmarkEnd w:id="2"/>
    </w:p>
    <w:p w:rsidR="001C0305" w:rsidRDefault="001C0305" w:rsidP="00E07ACA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sectPr w:rsidR="001C0305" w:rsidSect="001C030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07ACA" w:rsidRPr="001C0305" w:rsidRDefault="00E07ACA" w:rsidP="00E07ACA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</w:pPr>
      <w:r w:rsidRPr="001C0305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lastRenderedPageBreak/>
        <w:t>Обзор документа</w:t>
      </w:r>
    </w:p>
    <w:p w:rsidR="00E07ACA" w:rsidRPr="001C0305" w:rsidRDefault="00CB53BD" w:rsidP="00E07ACA">
      <w:pPr>
        <w:spacing w:before="255" w:after="25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std="t" o:hrnoshade="t" o:hr="t" fillcolor="black" stroked="f"/>
        </w:pic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 План мероприятий ("дорожная карта") </w:t>
      </w:r>
      <w:proofErr w:type="spellStart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 России по повышению значений показателей доступности для инвалидов объектов и предоставляемых на них услуг в сфере образования.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В частности, предусматривается создание условий по исключению с 01.07.2016 приемки вводимых с этой даты в эксплуатацию или прошедших реконструкцию объектов, не полностью приспособленных с учетом потребности инвалидов.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Планируется увеличение доли доступных для инвалидов объектов в их общем количестве с 10% в 2015 г. до 15% в 2020 г. и 20% в 2030 г.</w:t>
      </w:r>
    </w:p>
    <w:p w:rsidR="00E07ACA" w:rsidRPr="001C0305" w:rsidRDefault="00E07ACA" w:rsidP="00E07ACA">
      <w:pPr>
        <w:spacing w:after="25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t>Приказ вступает в силу с 01.01.2016.</w:t>
      </w:r>
    </w:p>
    <w:p w:rsidR="00D803DC" w:rsidRPr="001C0305" w:rsidRDefault="00E07ACA" w:rsidP="00E07ACA">
      <w:pPr>
        <w:rPr>
          <w:rFonts w:ascii="Times New Roman" w:hAnsi="Times New Roman" w:cs="Times New Roman"/>
        </w:rPr>
      </w:pP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C0305">
        <w:rPr>
          <w:rFonts w:ascii="Times New Roman" w:eastAsia="Times New Roman" w:hAnsi="Times New Roman" w:cs="Times New Roman"/>
          <w:color w:val="000000"/>
          <w:lang w:eastAsia="ru-RU"/>
        </w:rPr>
        <w:br/>
        <w:t>ГАРАНТ.РУ: </w:t>
      </w:r>
      <w:hyperlink r:id="rId6" w:anchor="ixzz5KjobXpi8" w:history="1">
        <w:r w:rsidRPr="001C0305">
          <w:rPr>
            <w:rFonts w:ascii="Times New Roman" w:eastAsia="Times New Roman" w:hAnsi="Times New Roman" w:cs="Times New Roman"/>
            <w:color w:val="003399"/>
            <w:bdr w:val="none" w:sz="0" w:space="0" w:color="auto" w:frame="1"/>
            <w:lang w:eastAsia="ru-RU"/>
          </w:rPr>
          <w:t>http://www.garant.ru/products/ipo/prime/doc/71233840/#ixzz5KjobXpi8</w:t>
        </w:r>
      </w:hyperlink>
    </w:p>
    <w:sectPr w:rsidR="00D803DC" w:rsidRPr="001C0305" w:rsidSect="0094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CA"/>
    <w:rsid w:val="001C0305"/>
    <w:rsid w:val="009460FC"/>
    <w:rsid w:val="00CB53BD"/>
    <w:rsid w:val="00D803DC"/>
    <w:rsid w:val="00E0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52114"/>
  <w15:docId w15:val="{543E846F-CFBC-4AFB-9E69-FD444DE2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FC"/>
  </w:style>
  <w:style w:type="paragraph" w:styleId="2">
    <w:name w:val="heading 2"/>
    <w:basedOn w:val="a"/>
    <w:link w:val="20"/>
    <w:uiPriority w:val="9"/>
    <w:qFormat/>
    <w:rsid w:val="00E0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33840/" TargetMode="External"/><Relationship Id="rId5" Type="http://schemas.openxmlformats.org/officeDocument/2006/relationships/hyperlink" Target="http://www.garant.ru/products/ipo/prime/doc/71233840/" TargetMode="External"/><Relationship Id="rId4" Type="http://schemas.openxmlformats.org/officeDocument/2006/relationships/hyperlink" Target="http://www.garant.ru/products/ipo/prime/doc/71233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3360</Words>
  <Characters>19156</Characters>
  <Application>Microsoft Office Word</Application>
  <DocSecurity>0</DocSecurity>
  <Lines>159</Lines>
  <Paragraphs>44</Paragraphs>
  <ScaleCrop>false</ScaleCrop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2018-08-24T12:07:00Z</cp:lastPrinted>
  <dcterms:created xsi:type="dcterms:W3CDTF">2018-07-09T06:53:00Z</dcterms:created>
  <dcterms:modified xsi:type="dcterms:W3CDTF">2018-08-31T07:41:00Z</dcterms:modified>
</cp:coreProperties>
</file>