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D650" w14:textId="77777777" w:rsidR="00761F52" w:rsidRDefault="00BC484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3"/>
        </w:tabs>
        <w:spacing w:before="120"/>
        <w:jc w:val="center"/>
      </w:pPr>
      <w:r>
        <w:rPr>
          <w:color w:val="000000"/>
          <w:spacing w:val="-6"/>
        </w:rPr>
        <w:t>СПИСОК</w:t>
      </w:r>
    </w:p>
    <w:p w14:paraId="429A1DB1" w14:textId="77777777" w:rsidR="006E6C40" w:rsidRDefault="00BC484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pacing w:val="-6"/>
        </w:rPr>
      </w:pPr>
      <w:r>
        <w:rPr>
          <w:color w:val="000000"/>
          <w:spacing w:val="-6"/>
        </w:rPr>
        <w:t>опубликованных учебных изданий и научных трудов заведующего</w:t>
      </w:r>
      <w:r w:rsidR="006E6C40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кафедрой </w:t>
      </w:r>
      <w:r w:rsidR="006E6C40">
        <w:rPr>
          <w:color w:val="000000"/>
          <w:spacing w:val="-6"/>
        </w:rPr>
        <w:t>конституционного</w:t>
      </w:r>
      <w:r>
        <w:rPr>
          <w:color w:val="000000"/>
          <w:spacing w:val="-6"/>
        </w:rPr>
        <w:t xml:space="preserve"> и административного права, </w:t>
      </w:r>
    </w:p>
    <w:p w14:paraId="10067476" w14:textId="7456D79A" w:rsidR="00761F52" w:rsidRDefault="00BC484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pacing w:val="-6"/>
        </w:rPr>
        <w:t xml:space="preserve">доцента Богатырёва Алима </w:t>
      </w:r>
      <w:proofErr w:type="spellStart"/>
      <w:r>
        <w:rPr>
          <w:color w:val="000000"/>
          <w:spacing w:val="-6"/>
        </w:rPr>
        <w:t>Забидовича</w:t>
      </w:r>
      <w:proofErr w:type="spellEnd"/>
    </w:p>
    <w:tbl>
      <w:tblPr>
        <w:tblStyle w:val="af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999"/>
        <w:gridCol w:w="1992"/>
        <w:gridCol w:w="1999"/>
        <w:gridCol w:w="1389"/>
      </w:tblGrid>
      <w:tr w:rsidR="00761F52" w14:paraId="4526579E" w14:textId="77777777">
        <w:trPr>
          <w:trHeight w:val="3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E8B9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№</w:t>
            </w:r>
          </w:p>
          <w:p w14:paraId="5D2DE69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22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3F450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Наименование учебных изданий, научных трудов и патентов на изобретения</w:t>
            </w:r>
            <w:r>
              <w:rPr>
                <w:b/>
                <w:color w:val="000000"/>
              </w:rPr>
              <w:t xml:space="preserve"> и иные объекты</w:t>
            </w:r>
          </w:p>
          <w:p w14:paraId="5DF0898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интеллектуальной собственности</w:t>
            </w:r>
          </w:p>
        </w:tc>
        <w:tc>
          <w:tcPr>
            <w:tcW w:w="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8485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Форма учебных изданий и научных трудов</w:t>
            </w:r>
          </w:p>
        </w:tc>
        <w:tc>
          <w:tcPr>
            <w:tcW w:w="1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D3FE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Выходные данные</w:t>
            </w:r>
          </w:p>
        </w:tc>
        <w:tc>
          <w:tcPr>
            <w:tcW w:w="1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A31A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Объем п. л.</w:t>
            </w:r>
          </w:p>
        </w:tc>
        <w:tc>
          <w:tcPr>
            <w:tcW w:w="13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FA33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Соавторы</w:t>
            </w:r>
          </w:p>
        </w:tc>
      </w:tr>
      <w:tr w:rsidR="00761F52" w14:paraId="4D587040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C16E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8435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D025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0200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A2EAD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D4CC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61F52" w14:paraId="59FDF978" w14:textId="77777777">
        <w:trPr>
          <w:trHeight w:val="249"/>
        </w:trPr>
        <w:tc>
          <w:tcPr>
            <w:tcW w:w="9355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12ED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Монографии</w:t>
            </w:r>
          </w:p>
        </w:tc>
      </w:tr>
      <w:tr w:rsidR="00761F52" w14:paraId="24987BAC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85598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8A2B9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Социально-экономические и правовые вопросы европейской миграционной политики</w:t>
            </w:r>
          </w:p>
        </w:tc>
        <w:tc>
          <w:tcPr>
            <w:tcW w:w="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792C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</w:p>
        </w:tc>
        <w:tc>
          <w:tcPr>
            <w:tcW w:w="1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7F5ED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Нальчик: Издательство М. и В. Котляровых, 2021</w:t>
            </w:r>
          </w:p>
        </w:tc>
        <w:tc>
          <w:tcPr>
            <w:tcW w:w="1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2600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64 с.</w:t>
            </w:r>
          </w:p>
        </w:tc>
        <w:tc>
          <w:tcPr>
            <w:tcW w:w="13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C0CE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Гукова Д.М.</w:t>
            </w:r>
          </w:p>
        </w:tc>
      </w:tr>
      <w:tr w:rsidR="00761F52" w14:paraId="3BF62AFF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D4955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2FF2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Феномен самоопределения народов на </w:t>
            </w:r>
            <w:proofErr w:type="spellStart"/>
            <w:r>
              <w:rPr>
                <w:color w:val="000000"/>
              </w:rPr>
              <w:t>постмодернизационном</w:t>
            </w:r>
            <w:proofErr w:type="spellEnd"/>
            <w:r>
              <w:rPr>
                <w:color w:val="000000"/>
              </w:rPr>
              <w:t xml:space="preserve"> пространстве: политико-правовой анализ отдельных прецедентов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404CA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89000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Нальчик: Издательство М. и В. Котляровых, 2021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928F1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68 с.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47055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Даова</w:t>
            </w:r>
            <w:proofErr w:type="spellEnd"/>
            <w:r>
              <w:rPr>
                <w:color w:val="000000"/>
              </w:rPr>
              <w:t xml:space="preserve"> М.Х.</w:t>
            </w:r>
          </w:p>
        </w:tc>
      </w:tr>
      <w:tr w:rsidR="00761F52" w14:paraId="5FB29FDA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C425D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ADFC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Всеобщая декларация прав человека и новые вызовы реального времени </w:t>
            </w:r>
          </w:p>
          <w:p w14:paraId="0E987240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3AC4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443D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color w:val="000000"/>
              </w:rPr>
              <w:t>Нальчик :</w:t>
            </w:r>
            <w:proofErr w:type="gramEnd"/>
            <w:r>
              <w:rPr>
                <w:color w:val="000000"/>
              </w:rPr>
              <w:t xml:space="preserve"> Кабардино-Балкарский государственный университет им. Х.М. Бербекова, 2022. – 159 с.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C0745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FAC5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Г. К. </w:t>
            </w:r>
            <w:proofErr w:type="spellStart"/>
            <w:r>
              <w:rPr>
                <w:color w:val="000000"/>
              </w:rPr>
              <w:t>Азаматова</w:t>
            </w:r>
            <w:proofErr w:type="spellEnd"/>
            <w:r>
              <w:rPr>
                <w:color w:val="000000"/>
              </w:rPr>
              <w:t xml:space="preserve">, Т. Р. Арамисов, З. А. </w:t>
            </w:r>
            <w:proofErr w:type="spellStart"/>
            <w:r>
              <w:rPr>
                <w:color w:val="000000"/>
              </w:rPr>
              <w:t>Атабиева</w:t>
            </w:r>
            <w:proofErr w:type="spellEnd"/>
            <w:r>
              <w:rPr>
                <w:color w:val="000000"/>
              </w:rPr>
              <w:t xml:space="preserve"> [и др.]. </w:t>
            </w:r>
          </w:p>
        </w:tc>
      </w:tr>
      <w:tr w:rsidR="00761F52" w14:paraId="61DFFCF4" w14:textId="77777777">
        <w:trPr>
          <w:trHeight w:val="57"/>
        </w:trPr>
        <w:tc>
          <w:tcPr>
            <w:tcW w:w="9355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B54C5" w14:textId="77777777" w:rsidR="00761F52" w:rsidRDefault="00BC484A">
            <w:pPr>
              <w:pStyle w:val="afc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Учебные издания</w:t>
            </w:r>
          </w:p>
        </w:tc>
      </w:tr>
      <w:tr w:rsidR="00761F52" w14:paraId="26B57C93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8125A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4EE40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</w:pPr>
            <w:r>
              <w:rPr>
                <w:color w:val="000000"/>
              </w:rPr>
              <w:t>Административное право (методичка)</w:t>
            </w:r>
          </w:p>
        </w:tc>
        <w:tc>
          <w:tcPr>
            <w:tcW w:w="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4C1C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AF6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Кабардино-Балкарский государственный университет им. Х.М. Бербекова. – Нальчик: </w:t>
            </w:r>
            <w:proofErr w:type="spellStart"/>
            <w:proofErr w:type="gram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.-</w:t>
            </w:r>
            <w:proofErr w:type="spellStart"/>
            <w:proofErr w:type="gramEnd"/>
            <w:r>
              <w:rPr>
                <w:color w:val="000000"/>
              </w:rPr>
              <w:t>Балк.ун</w:t>
            </w:r>
            <w:proofErr w:type="spellEnd"/>
            <w:r>
              <w:rPr>
                <w:color w:val="000000"/>
              </w:rPr>
              <w:t xml:space="preserve">-т. – 2021. – 36 с. – 50 экз. – </w:t>
            </w:r>
            <w:proofErr w:type="gramStart"/>
            <w:r>
              <w:rPr>
                <w:color w:val="000000"/>
              </w:rPr>
              <w:t>Текст :</w:t>
            </w:r>
            <w:proofErr w:type="gramEnd"/>
            <w:r>
              <w:rPr>
                <w:color w:val="000000"/>
              </w:rPr>
              <w:t xml:space="preserve"> непосредственный</w:t>
            </w:r>
          </w:p>
        </w:tc>
        <w:tc>
          <w:tcPr>
            <w:tcW w:w="1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8FB62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6"/>
              <w:jc w:val="center"/>
            </w:pPr>
            <w:r>
              <w:rPr>
                <w:color w:val="000000"/>
              </w:rPr>
              <w:t>1,86</w:t>
            </w:r>
          </w:p>
        </w:tc>
        <w:tc>
          <w:tcPr>
            <w:tcW w:w="13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B21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Исаков А.Р., </w:t>
            </w:r>
            <w:proofErr w:type="spellStart"/>
            <w:r>
              <w:rPr>
                <w:color w:val="000000"/>
              </w:rPr>
              <w:t>Цолоев</w:t>
            </w:r>
            <w:proofErr w:type="spellEnd"/>
            <w:r>
              <w:rPr>
                <w:color w:val="000000"/>
              </w:rPr>
              <w:t xml:space="preserve"> Т.С.,</w:t>
            </w:r>
          </w:p>
          <w:p w14:paraId="505C43B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Тенов</w:t>
            </w:r>
            <w:proofErr w:type="spellEnd"/>
            <w:r>
              <w:rPr>
                <w:color w:val="000000"/>
              </w:rPr>
              <w:t xml:space="preserve"> Т.З.</w:t>
            </w:r>
          </w:p>
          <w:p w14:paraId="7E9EA1E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</w:pPr>
            <w:r>
              <w:rPr>
                <w:color w:val="000000"/>
              </w:rPr>
              <w:t> </w:t>
            </w:r>
          </w:p>
        </w:tc>
      </w:tr>
      <w:tr w:rsidR="00761F52" w14:paraId="076F3BA4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8D7AA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65A72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</w:pPr>
            <w:r>
              <w:rPr>
                <w:color w:val="000000"/>
              </w:rPr>
              <w:t xml:space="preserve">Магистерская </w:t>
            </w:r>
            <w:proofErr w:type="gramStart"/>
            <w:r>
              <w:rPr>
                <w:color w:val="000000"/>
              </w:rPr>
              <w:t>диссертация :</w:t>
            </w:r>
            <w:proofErr w:type="gramEnd"/>
            <w:r>
              <w:rPr>
                <w:color w:val="000000"/>
              </w:rPr>
              <w:t xml:space="preserve"> Методические рекомендации по </w:t>
            </w:r>
            <w:r>
              <w:rPr>
                <w:color w:val="000000"/>
              </w:rPr>
              <w:lastRenderedPageBreak/>
              <w:t>подготовке, написанию, оформлению и защите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8780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2136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color w:val="000000"/>
              </w:rPr>
              <w:t>Нальчик :</w:t>
            </w:r>
            <w:proofErr w:type="gramEnd"/>
            <w:r>
              <w:rPr>
                <w:color w:val="000000"/>
              </w:rPr>
              <w:t xml:space="preserve"> Кабардино-Балкарский государственный </w:t>
            </w:r>
            <w:r>
              <w:rPr>
                <w:color w:val="000000"/>
              </w:rPr>
              <w:lastRenderedPageBreak/>
              <w:t xml:space="preserve">университет им. Х.М. Бербекова, 2021. 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FA60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6"/>
              <w:jc w:val="center"/>
            </w:pPr>
            <w:r>
              <w:rPr>
                <w:color w:val="000000"/>
              </w:rPr>
              <w:lastRenderedPageBreak/>
              <w:t>39 с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1DA5A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</w:pPr>
            <w:proofErr w:type="spellStart"/>
            <w:r>
              <w:rPr>
                <w:color w:val="000000"/>
              </w:rPr>
              <w:t>Цолоев</w:t>
            </w:r>
            <w:proofErr w:type="spellEnd"/>
            <w:r>
              <w:rPr>
                <w:color w:val="000000"/>
              </w:rPr>
              <w:t xml:space="preserve"> Т.С.,</w:t>
            </w:r>
          </w:p>
          <w:p w14:paraId="4D4266D1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</w:pPr>
            <w:proofErr w:type="spellStart"/>
            <w:r>
              <w:rPr>
                <w:color w:val="000000"/>
              </w:rPr>
              <w:t>Кярова</w:t>
            </w:r>
            <w:proofErr w:type="spellEnd"/>
            <w:r>
              <w:rPr>
                <w:color w:val="000000"/>
              </w:rPr>
              <w:t xml:space="preserve"> Ф.А.</w:t>
            </w:r>
          </w:p>
        </w:tc>
      </w:tr>
      <w:tr w:rsidR="00761F52" w14:paraId="1BA3FB8B" w14:textId="77777777">
        <w:trPr>
          <w:trHeight w:val="1234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FC2A4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AF30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Международное гуманитарное право (Методические указания)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A517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55C04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Нальчик: изд-во КБГУ, 2023.  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7C811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2FA02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Тенов</w:t>
            </w:r>
            <w:proofErr w:type="spellEnd"/>
            <w:r>
              <w:rPr>
                <w:color w:val="000000"/>
              </w:rPr>
              <w:t xml:space="preserve"> Т.З.</w:t>
            </w:r>
          </w:p>
          <w:p w14:paraId="54FE03A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Кярова</w:t>
            </w:r>
            <w:proofErr w:type="spellEnd"/>
            <w:r>
              <w:rPr>
                <w:color w:val="000000"/>
              </w:rPr>
              <w:t xml:space="preserve"> Ф.А.</w:t>
            </w:r>
          </w:p>
          <w:p w14:paraId="2FDF1135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761F52" w14:paraId="7A4B16AF" w14:textId="77777777">
        <w:trPr>
          <w:trHeight w:val="249"/>
        </w:trPr>
        <w:tc>
          <w:tcPr>
            <w:tcW w:w="9355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5BC70" w14:textId="77777777" w:rsidR="00761F52" w:rsidRDefault="00BC484A">
            <w:pPr>
              <w:pStyle w:val="afc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Научные труды</w:t>
            </w:r>
          </w:p>
        </w:tc>
      </w:tr>
      <w:tr w:rsidR="00761F52" w14:paraId="540592AC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23D79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D153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Шотландский кейс: основные тенденции реализации права народов на самоопределение </w:t>
            </w:r>
          </w:p>
          <w:p w14:paraId="075392A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F03CA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12969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Гуманитарные, социально-экономические и общественные науки. 2020. № 3  </w:t>
            </w:r>
          </w:p>
          <w:p w14:paraId="018E707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№ 1046 Перечня ВАК </w:t>
            </w:r>
            <w:proofErr w:type="gramStart"/>
            <w:r>
              <w:rPr>
                <w:color w:val="000000"/>
              </w:rPr>
              <w:t>( по</w:t>
            </w:r>
            <w:proofErr w:type="gramEnd"/>
            <w:r>
              <w:rPr>
                <w:color w:val="000000"/>
              </w:rPr>
              <w:t xml:space="preserve"> состоянию на 19.12.2023 г.)</w:t>
            </w:r>
          </w:p>
          <w:p w14:paraId="507E795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1400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С. 73-76.</w:t>
            </w:r>
          </w:p>
        </w:tc>
        <w:tc>
          <w:tcPr>
            <w:tcW w:w="13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2B19A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М. Х. </w:t>
            </w:r>
            <w:proofErr w:type="spellStart"/>
            <w:r>
              <w:rPr>
                <w:color w:val="000000"/>
              </w:rPr>
              <w:t>Даова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18641EFD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761F52" w14:paraId="49364F59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8A440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22E4D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Кризис </w:t>
            </w:r>
            <w:proofErr w:type="spellStart"/>
            <w:r>
              <w:rPr>
                <w:color w:val="000000"/>
              </w:rPr>
              <w:t>этнотерриториальной</w:t>
            </w:r>
            <w:proofErr w:type="spellEnd"/>
            <w:r>
              <w:rPr>
                <w:color w:val="000000"/>
              </w:rPr>
              <w:t xml:space="preserve"> идентичности в условиях глобализации на примере каталонского конфликта 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70DF9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E6A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Право и практика. – 2020. – № 4. </w:t>
            </w:r>
          </w:p>
          <w:p w14:paraId="4301067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№ 2083 Перечня ВАК </w:t>
            </w:r>
            <w:proofErr w:type="gramStart"/>
            <w:r>
              <w:rPr>
                <w:color w:val="000000"/>
              </w:rPr>
              <w:t>( по</w:t>
            </w:r>
            <w:proofErr w:type="gramEnd"/>
            <w:r>
              <w:rPr>
                <w:color w:val="000000"/>
              </w:rPr>
              <w:t xml:space="preserve"> состоянию на 19.12.2023 г.)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1BCA1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С. 194-199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E2535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М. Х. </w:t>
            </w:r>
            <w:proofErr w:type="spellStart"/>
            <w:r>
              <w:rPr>
                <w:color w:val="000000"/>
              </w:rPr>
              <w:t>Даова</w:t>
            </w:r>
            <w:proofErr w:type="spellEnd"/>
          </w:p>
        </w:tc>
      </w:tr>
      <w:tr w:rsidR="00761F52" w14:paraId="1FF83294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EF527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FC19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Южнотирольская</w:t>
            </w:r>
            <w:proofErr w:type="spellEnd"/>
            <w:r>
              <w:rPr>
                <w:color w:val="000000"/>
              </w:rPr>
              <w:t xml:space="preserve"> модель автономии как паттерн урегулирования конфликтов этнических меньшинств </w:t>
            </w:r>
          </w:p>
          <w:p w14:paraId="1A93AC2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13C20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C622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Право и государство: теория и практика. – 2020. – № 12(192). – </w:t>
            </w:r>
          </w:p>
          <w:p w14:paraId="4B3F4E49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№ 2080 Перечня ВАК </w:t>
            </w:r>
            <w:proofErr w:type="gramStart"/>
            <w:r>
              <w:rPr>
                <w:color w:val="000000"/>
              </w:rPr>
              <w:t>( по</w:t>
            </w:r>
            <w:proofErr w:type="gramEnd"/>
            <w:r>
              <w:rPr>
                <w:color w:val="000000"/>
              </w:rPr>
              <w:t xml:space="preserve"> состоянию на 19.12.2023 г.)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B1C9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С. 156-159.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5818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 М. Х. </w:t>
            </w:r>
            <w:proofErr w:type="spellStart"/>
            <w:r>
              <w:rPr>
                <w:color w:val="000000"/>
              </w:rPr>
              <w:t>Даова</w:t>
            </w:r>
            <w:proofErr w:type="spellEnd"/>
          </w:p>
        </w:tc>
      </w:tr>
      <w:tr w:rsidR="00761F52" w14:paraId="76332F2F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91356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78D3A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Кашмирский фактор": перспективы нейтрализации индо-пакистанского конфликта в контексте трансформации конституционно-правового статуса региона 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1D2B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EB9B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Образование и право. – 2020. – № 11. </w:t>
            </w:r>
          </w:p>
          <w:p w14:paraId="0C874A2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№ 1938 Перечня ВАК (по со сост. на 19.12.2023 г.)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51F4D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С. 13-18.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E91F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М. Х. </w:t>
            </w:r>
            <w:proofErr w:type="spellStart"/>
            <w:r>
              <w:rPr>
                <w:color w:val="000000"/>
              </w:rPr>
              <w:t>Даова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61F52" w14:paraId="689430B6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61895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9E55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Особенности и специфика развития правосознания</w:t>
            </w:r>
          </w:p>
          <w:p w14:paraId="7DB12DC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lastRenderedPageBreak/>
              <w:t>студенческой молодежи в современном</w:t>
            </w:r>
          </w:p>
          <w:p w14:paraId="1136E578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информационном российском обществе 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DF7E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lastRenderedPageBreak/>
              <w:t>электр</w:t>
            </w:r>
            <w:proofErr w:type="spellEnd"/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BFB15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Правосознание обучающихся в юридическом вузе в условиях</w:t>
            </w:r>
          </w:p>
          <w:p w14:paraId="340C4E3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lastRenderedPageBreak/>
              <w:t> информатизации российского общества: сборник материалов международной научно-практической конференции. Том 1. – Ставрополь,</w:t>
            </w:r>
          </w:p>
          <w:p w14:paraId="5722636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ИП Светличная С.Г., 2020. – 264 с.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7B0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lastRenderedPageBreak/>
              <w:t>С.71-75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5B65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Даова</w:t>
            </w:r>
            <w:proofErr w:type="spellEnd"/>
            <w:r>
              <w:rPr>
                <w:color w:val="000000"/>
              </w:rPr>
              <w:t xml:space="preserve"> М.Х.</w:t>
            </w:r>
          </w:p>
          <w:p w14:paraId="3EE1695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761F52" w14:paraId="30219E36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D9B33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A84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Цифровизация в образовании: тенденции и направления развития  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F80D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E71C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КОНЦЕПЦИИ УСТОЙЧИВОГО РАЗВИТИЯ науки в СОВРЕМЕННЫХ </w:t>
            </w:r>
            <w:proofErr w:type="gramStart"/>
            <w:r>
              <w:rPr>
                <w:color w:val="000000"/>
              </w:rPr>
              <w:t>УСЛОВИЯХ :</w:t>
            </w:r>
            <w:proofErr w:type="gramEnd"/>
            <w:r>
              <w:rPr>
                <w:color w:val="000000"/>
              </w:rPr>
              <w:t xml:space="preserve"> сборник статей Международной научно-практической конференции, Уфа, 17 октября 2021 года. – Уфа: Общество с ограниченной ответственностью "ОМЕГА САЙНС", 2021. –  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09A12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С. 68-72.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35AD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 Э. Г. </w:t>
            </w:r>
            <w:proofErr w:type="spellStart"/>
            <w:r>
              <w:rPr>
                <w:color w:val="000000"/>
              </w:rPr>
              <w:t>Шурдумова</w:t>
            </w:r>
            <w:proofErr w:type="spellEnd"/>
            <w:r>
              <w:rPr>
                <w:color w:val="000000"/>
              </w:rPr>
              <w:t>, А. А</w:t>
            </w:r>
            <w:r>
              <w:rPr>
                <w:color w:val="000000"/>
              </w:rPr>
              <w:t xml:space="preserve">. Кумыкова </w:t>
            </w:r>
          </w:p>
        </w:tc>
      </w:tr>
      <w:tr w:rsidR="00761F52" w14:paraId="41769B68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F53DD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0FB6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К вопросу об эффективности антикоррупционной политики в РФ на современном этапе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8BDF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D4F2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Совершенствование системы противодействия коррупции в современных условиях в рамках реализации Национального плана противодействия коррупции на 2021-2024 годы. Программа межрегиональной научно-практической конференции. </w:t>
            </w:r>
            <w:r>
              <w:rPr>
                <w:color w:val="000000"/>
              </w:rPr>
              <w:lastRenderedPageBreak/>
              <w:t xml:space="preserve">Нальчик: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.-</w:t>
            </w:r>
            <w:proofErr w:type="spellStart"/>
            <w:r>
              <w:rPr>
                <w:color w:val="000000"/>
              </w:rPr>
              <w:t>Балк</w:t>
            </w:r>
            <w:proofErr w:type="spellEnd"/>
            <w:r>
              <w:rPr>
                <w:color w:val="000000"/>
              </w:rPr>
              <w:t>. ун-т, 2021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26681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lastRenderedPageBreak/>
              <w:t>К вопр</w:t>
            </w:r>
            <w:r>
              <w:rPr>
                <w:color w:val="000000"/>
              </w:rPr>
              <w:t>осу об эффективности антикоррупционной политики в РФ на современном этапе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34CD0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761F52" w14:paraId="7302A15B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4C86F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A3A7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 вопросу форм правового мониторинга законодательства в Российской Федерации 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2CA78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E1724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Образование и право. – 2022. – № 3. – С. 65-68. </w:t>
            </w:r>
          </w:p>
          <w:p w14:paraId="400A86B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№ 1938 Перечня ВАК (по со сост. на 19.12.2023 г.)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FBF2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50161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Т. С. </w:t>
            </w:r>
            <w:proofErr w:type="spellStart"/>
            <w:proofErr w:type="gramStart"/>
            <w:r>
              <w:rPr>
                <w:color w:val="000000"/>
              </w:rPr>
              <w:t>Цолоев</w:t>
            </w:r>
            <w:proofErr w:type="spellEnd"/>
            <w:r>
              <w:rPr>
                <w:color w:val="000000"/>
              </w:rPr>
              <w:t>,  А.</w:t>
            </w:r>
            <w:proofErr w:type="gramEnd"/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Тлупова</w:t>
            </w:r>
            <w:proofErr w:type="spellEnd"/>
          </w:p>
        </w:tc>
      </w:tr>
      <w:tr w:rsidR="00761F52" w14:paraId="4E588386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505F6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28968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Финансирование экстремистской деятельности в Российской Федерации: пути противодействия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E28D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23DB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Образование и право. 2022.           № 4 С. 333-336</w:t>
            </w:r>
          </w:p>
          <w:p w14:paraId="09C74FE2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№ 1938 Перечня ВАК (по со сост. на 19.12.2023 г.)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04AD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С. 333-336 (0,2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5289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Тлупова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14:paraId="430267E5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Мамбетова К.М.</w:t>
            </w:r>
          </w:p>
        </w:tc>
      </w:tr>
      <w:tr w:rsidR="00761F52" w14:paraId="6EF3D625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A8286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E1629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Ответственность иностранных граждан в образовательных учреждениях РФ 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507AC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43729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Студенческий вестник. – 2022. – № 42-3(234).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50C78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С. 65-68.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C12A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Р. М. </w:t>
            </w:r>
            <w:proofErr w:type="spellStart"/>
            <w:r>
              <w:rPr>
                <w:color w:val="000000"/>
              </w:rPr>
              <w:t>Кярова</w:t>
            </w:r>
            <w:proofErr w:type="spellEnd"/>
          </w:p>
        </w:tc>
      </w:tr>
      <w:tr w:rsidR="00761F52" w14:paraId="49BB4787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B4EF7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12794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Роль социальных институтов </w:t>
            </w:r>
          </w:p>
          <w:p w14:paraId="53184E6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в противодействии коррупции 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4A62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6ECC1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Противодействие коррупции в современных </w:t>
            </w:r>
            <w:proofErr w:type="gramStart"/>
            <w:r>
              <w:rPr>
                <w:color w:val="000000"/>
              </w:rPr>
              <w:t>условиях :</w:t>
            </w:r>
            <w:proofErr w:type="gramEnd"/>
            <w:r>
              <w:rPr>
                <w:color w:val="000000"/>
              </w:rPr>
              <w:t xml:space="preserve"> Сборник статей Региональной научно-практической конференции, Нальчик, 09 декабря 2022 года. – Нальчик: ИКЦ «ЭКСПЕРТ», 2022. 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55FA2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С. 38-44. 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2BA8A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761F52" w14:paraId="2931E082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3E893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E23C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Причины и процедура выдворения иностранных граждан за пределы Рос</w:t>
            </w:r>
            <w:r>
              <w:rPr>
                <w:color w:val="000000"/>
              </w:rPr>
              <w:t xml:space="preserve">сийской Федерации 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F2AA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38289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Вестник СКФО: право и экономика. – 2022. – № 2(22). – С. 31-32. 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3A679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64E9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Р. М. </w:t>
            </w:r>
            <w:proofErr w:type="spellStart"/>
            <w:r>
              <w:rPr>
                <w:color w:val="000000"/>
              </w:rPr>
              <w:t>Кярова</w:t>
            </w:r>
            <w:proofErr w:type="spellEnd"/>
          </w:p>
        </w:tc>
      </w:tr>
      <w:tr w:rsidR="00761F52" w14:paraId="5358C0C8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E930C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C1991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Совершенствование порядка прохождения службы в полиции в условиях административной модернизации государственной службы Российской Федерации 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D79DD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электр</w:t>
            </w:r>
            <w:proofErr w:type="spellEnd"/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8D0E0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Научные вести. – 2022. – № 12(53). – С. 5-10. 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2070D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56A38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Ахобекова</w:t>
            </w:r>
            <w:proofErr w:type="spellEnd"/>
            <w:r>
              <w:rPr>
                <w:color w:val="000000"/>
              </w:rPr>
              <w:t xml:space="preserve">, Б. Х. </w:t>
            </w:r>
          </w:p>
        </w:tc>
      </w:tr>
      <w:tr w:rsidR="00761F52" w14:paraId="3DB274CD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89BB7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A73E8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Особенности правового регулирования электронной подписи на примере Канады </w:t>
            </w:r>
          </w:p>
        </w:tc>
        <w:tc>
          <w:tcPr>
            <w:tcW w:w="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D3625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2D90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и государство: теория и практика. – 2023. – № 4(220).</w:t>
            </w:r>
          </w:p>
          <w:p w14:paraId="05CC7BC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№ 2080 Перечня ВАК </w:t>
            </w:r>
            <w:proofErr w:type="gramStart"/>
            <w:r>
              <w:rPr>
                <w:color w:val="000000"/>
              </w:rPr>
              <w:t>( по</w:t>
            </w:r>
            <w:proofErr w:type="gramEnd"/>
            <w:r>
              <w:rPr>
                <w:color w:val="000000"/>
              </w:rPr>
              <w:t xml:space="preserve"> состоянию на 19.12.2023 г.)</w:t>
            </w:r>
          </w:p>
        </w:tc>
        <w:tc>
          <w:tcPr>
            <w:tcW w:w="1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51514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С. 151-153</w:t>
            </w:r>
          </w:p>
        </w:tc>
        <w:tc>
          <w:tcPr>
            <w:tcW w:w="138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651F2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А. Р. Исаков</w:t>
            </w:r>
          </w:p>
        </w:tc>
      </w:tr>
      <w:tr w:rsidR="00761F52" w14:paraId="0D0F2353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7A5AF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BC972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 вопросу регулятивных функций </w:t>
            </w:r>
            <w:proofErr w:type="spellStart"/>
            <w:r>
              <w:rPr>
                <w:color w:val="000000"/>
              </w:rPr>
              <w:t>конституционноправовых</w:t>
            </w:r>
            <w:proofErr w:type="spellEnd"/>
            <w:r>
              <w:rPr>
                <w:color w:val="000000"/>
              </w:rPr>
              <w:t xml:space="preserve"> норм </w:t>
            </w:r>
          </w:p>
        </w:tc>
        <w:tc>
          <w:tcPr>
            <w:tcW w:w="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BEDF7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4D528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и управление. – 2023. – № 4.</w:t>
            </w:r>
          </w:p>
          <w:p w14:paraId="10220A65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№ 2086 Перечня ВАК </w:t>
            </w:r>
            <w:proofErr w:type="gramStart"/>
            <w:r>
              <w:rPr>
                <w:color w:val="000000"/>
              </w:rPr>
              <w:t>( по</w:t>
            </w:r>
            <w:proofErr w:type="gramEnd"/>
            <w:r>
              <w:rPr>
                <w:color w:val="000000"/>
              </w:rPr>
              <w:t xml:space="preserve"> состоянию на 19.12.2023 г.)</w:t>
            </w:r>
          </w:p>
        </w:tc>
        <w:tc>
          <w:tcPr>
            <w:tcW w:w="1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57446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С. 68-71.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6204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А. В. </w:t>
            </w:r>
            <w:proofErr w:type="spellStart"/>
            <w:r>
              <w:rPr>
                <w:color w:val="000000"/>
              </w:rPr>
              <w:t>Тлупова</w:t>
            </w:r>
            <w:proofErr w:type="spellEnd"/>
            <w:r>
              <w:rPr>
                <w:color w:val="000000"/>
              </w:rPr>
              <w:t xml:space="preserve">, Т. З. </w:t>
            </w:r>
            <w:proofErr w:type="spellStart"/>
            <w:r>
              <w:rPr>
                <w:color w:val="000000"/>
              </w:rPr>
              <w:t>Тенов</w:t>
            </w:r>
            <w:proofErr w:type="spellEnd"/>
            <w:r>
              <w:rPr>
                <w:color w:val="000000"/>
              </w:rPr>
              <w:t xml:space="preserve">, Р. Н. </w:t>
            </w:r>
            <w:proofErr w:type="spellStart"/>
            <w:r>
              <w:rPr>
                <w:color w:val="000000"/>
              </w:rPr>
              <w:t>Маремкулова</w:t>
            </w:r>
            <w:proofErr w:type="spellEnd"/>
          </w:p>
        </w:tc>
      </w:tr>
      <w:tr w:rsidR="00761F52" w14:paraId="6A422E24" w14:textId="77777777">
        <w:trPr>
          <w:trHeight w:val="5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AE1E6" w14:textId="77777777" w:rsidR="00761F52" w:rsidRDefault="00761F52">
            <w:pPr>
              <w:pStyle w:val="afc"/>
              <w:numPr>
                <w:ilvl w:val="0"/>
                <w:numId w:val="5"/>
              </w:numPr>
              <w:spacing w:line="57" w:lineRule="atLeast"/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8F79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Светскость образования или ограничение свободы вероисповедания в школах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031AE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1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EAC6A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Образование и право. – 2024. – № 2.</w:t>
            </w:r>
          </w:p>
          <w:p w14:paraId="3B792DEF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№ 1938 Перечня ВАК (по со сост. на 19.12.2023 г.)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3F1FB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с. 359-363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700F3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Кярова</w:t>
            </w:r>
            <w:proofErr w:type="spellEnd"/>
            <w:r>
              <w:rPr>
                <w:color w:val="000000"/>
              </w:rPr>
              <w:t xml:space="preserve"> Ф.А.,</w:t>
            </w:r>
          </w:p>
          <w:p w14:paraId="067C5128" w14:textId="77777777" w:rsidR="00761F52" w:rsidRDefault="00BC4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color w:val="000000"/>
              </w:rPr>
              <w:t>Цолоев</w:t>
            </w:r>
            <w:proofErr w:type="spellEnd"/>
            <w:r>
              <w:rPr>
                <w:color w:val="000000"/>
              </w:rPr>
              <w:t xml:space="preserve"> Т.С.</w:t>
            </w:r>
          </w:p>
        </w:tc>
      </w:tr>
    </w:tbl>
    <w:p w14:paraId="07F10747" w14:textId="77777777" w:rsidR="00761F52" w:rsidRDefault="00761F52">
      <w:pPr>
        <w:tabs>
          <w:tab w:val="left" w:pos="318"/>
        </w:tabs>
        <w:jc w:val="both"/>
        <w:rPr>
          <w:sz w:val="28"/>
          <w:szCs w:val="28"/>
        </w:rPr>
      </w:pPr>
    </w:p>
    <w:p w14:paraId="44B0ED5C" w14:textId="77777777" w:rsidR="00761F52" w:rsidRDefault="00761F52">
      <w:pPr>
        <w:rPr>
          <w:sz w:val="28"/>
          <w:szCs w:val="28"/>
        </w:rPr>
      </w:pPr>
    </w:p>
    <w:sectPr w:rsidR="00761F52">
      <w:head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5E3E" w14:textId="77777777" w:rsidR="00BC484A" w:rsidRDefault="00BC484A">
      <w:r>
        <w:separator/>
      </w:r>
    </w:p>
  </w:endnote>
  <w:endnote w:type="continuationSeparator" w:id="0">
    <w:p w14:paraId="3AD59E3A" w14:textId="77777777" w:rsidR="00BC484A" w:rsidRDefault="00BC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DF2E" w14:textId="77777777" w:rsidR="00BC484A" w:rsidRDefault="00BC484A">
      <w:r>
        <w:separator/>
      </w:r>
    </w:p>
  </w:footnote>
  <w:footnote w:type="continuationSeparator" w:id="0">
    <w:p w14:paraId="1916E16A" w14:textId="77777777" w:rsidR="00BC484A" w:rsidRDefault="00BC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A5EA" w14:textId="77777777" w:rsidR="00761F52" w:rsidRDefault="00761F5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264"/>
    <w:multiLevelType w:val="hybridMultilevel"/>
    <w:tmpl w:val="39A82DDC"/>
    <w:lvl w:ilvl="0" w:tplc="1A5EC6D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F63"/>
    <w:multiLevelType w:val="hybridMultilevel"/>
    <w:tmpl w:val="65AA8414"/>
    <w:lvl w:ilvl="0" w:tplc="5B56578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8FE"/>
    <w:multiLevelType w:val="hybridMultilevel"/>
    <w:tmpl w:val="75BC1930"/>
    <w:lvl w:ilvl="0" w:tplc="9B64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0C1E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25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A2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4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464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A2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A1B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44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4AE4"/>
    <w:multiLevelType w:val="hybridMultilevel"/>
    <w:tmpl w:val="BD982B6E"/>
    <w:lvl w:ilvl="0" w:tplc="6258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EF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4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C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0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2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21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AD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68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E99"/>
    <w:multiLevelType w:val="hybridMultilevel"/>
    <w:tmpl w:val="7270A69E"/>
    <w:lvl w:ilvl="0" w:tplc="A21EDE1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95D"/>
    <w:multiLevelType w:val="hybridMultilevel"/>
    <w:tmpl w:val="AC1654BE"/>
    <w:lvl w:ilvl="0" w:tplc="6D107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BC2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2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B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E4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28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E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EE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48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063"/>
    <w:multiLevelType w:val="hybridMultilevel"/>
    <w:tmpl w:val="BBEA7418"/>
    <w:lvl w:ilvl="0" w:tplc="B802DA7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74AD1"/>
    <w:multiLevelType w:val="hybridMultilevel"/>
    <w:tmpl w:val="0096F576"/>
    <w:lvl w:ilvl="0" w:tplc="75A23FB8">
      <w:start w:val="1"/>
      <w:numFmt w:val="decimal"/>
      <w:lvlText w:val="%1."/>
      <w:lvlJc w:val="left"/>
      <w:pPr>
        <w:ind w:left="709" w:hanging="360"/>
      </w:pPr>
    </w:lvl>
    <w:lvl w:ilvl="1" w:tplc="0142783C">
      <w:start w:val="1"/>
      <w:numFmt w:val="lowerLetter"/>
      <w:lvlText w:val="%2."/>
      <w:lvlJc w:val="left"/>
      <w:pPr>
        <w:ind w:left="1429" w:hanging="360"/>
      </w:pPr>
    </w:lvl>
    <w:lvl w:ilvl="2" w:tplc="1FBE2DEA">
      <w:start w:val="1"/>
      <w:numFmt w:val="lowerRoman"/>
      <w:lvlText w:val="%3."/>
      <w:lvlJc w:val="right"/>
      <w:pPr>
        <w:ind w:left="2149" w:hanging="180"/>
      </w:pPr>
    </w:lvl>
    <w:lvl w:ilvl="3" w:tplc="F11A384A">
      <w:start w:val="1"/>
      <w:numFmt w:val="decimal"/>
      <w:lvlText w:val="%4."/>
      <w:lvlJc w:val="left"/>
      <w:pPr>
        <w:ind w:left="2869" w:hanging="360"/>
      </w:pPr>
    </w:lvl>
    <w:lvl w:ilvl="4" w:tplc="B712D62E">
      <w:start w:val="1"/>
      <w:numFmt w:val="lowerLetter"/>
      <w:lvlText w:val="%5."/>
      <w:lvlJc w:val="left"/>
      <w:pPr>
        <w:ind w:left="3589" w:hanging="360"/>
      </w:pPr>
    </w:lvl>
    <w:lvl w:ilvl="5" w:tplc="40EAD9DA">
      <w:start w:val="1"/>
      <w:numFmt w:val="lowerRoman"/>
      <w:lvlText w:val="%6."/>
      <w:lvlJc w:val="right"/>
      <w:pPr>
        <w:ind w:left="4309" w:hanging="180"/>
      </w:pPr>
    </w:lvl>
    <w:lvl w:ilvl="6" w:tplc="32207D1C">
      <w:start w:val="1"/>
      <w:numFmt w:val="decimal"/>
      <w:lvlText w:val="%7."/>
      <w:lvlJc w:val="left"/>
      <w:pPr>
        <w:ind w:left="5029" w:hanging="360"/>
      </w:pPr>
    </w:lvl>
    <w:lvl w:ilvl="7" w:tplc="01B4CC2C">
      <w:start w:val="1"/>
      <w:numFmt w:val="lowerLetter"/>
      <w:lvlText w:val="%8."/>
      <w:lvlJc w:val="left"/>
      <w:pPr>
        <w:ind w:left="5749" w:hanging="360"/>
      </w:pPr>
    </w:lvl>
    <w:lvl w:ilvl="8" w:tplc="5272364E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52DE442A"/>
    <w:multiLevelType w:val="hybridMultilevel"/>
    <w:tmpl w:val="86FC1C00"/>
    <w:lvl w:ilvl="0" w:tplc="7B2C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BEF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84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40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657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C6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06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E0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C2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A624A"/>
    <w:multiLevelType w:val="hybridMultilevel"/>
    <w:tmpl w:val="4014C7C2"/>
    <w:lvl w:ilvl="0" w:tplc="07500A4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52"/>
    <w:rsid w:val="006E6C40"/>
    <w:rsid w:val="00761F52"/>
    <w:rsid w:val="00BC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2795"/>
  <w15:docId w15:val="{87CC83D9-6BCA-4FAD-8C94-DC1F60CA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0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Title"/>
    <w:basedOn w:val="a"/>
    <w:next w:val="a"/>
    <w:link w:val="af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</w:style>
  <w:style w:type="paragraph" w:styleId="af5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</w:style>
  <w:style w:type="table" w:styleId="af8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Заголовок Знак"/>
    <w:basedOn w:val="a0"/>
    <w:link w:val="af1"/>
    <w:uiPriority w:val="10"/>
    <w:qFormat/>
    <w:rPr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2024-04-27T12:01:00Z</dcterms:created>
  <dcterms:modified xsi:type="dcterms:W3CDTF">2024-04-27T12:01:00Z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