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2F49D0">
        <w:rPr>
          <w:rFonts w:ascii="Times New Roman" w:hAnsi="Times New Roman" w:cs="Times New Roman"/>
          <w:b/>
          <w:sz w:val="24"/>
          <w:szCs w:val="24"/>
        </w:rPr>
        <w:t>О НАУКИ И ВЫСШЕГО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E73D51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E73D51"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 w:rsidRPr="00E73D51">
        <w:rPr>
          <w:rFonts w:ascii="Times New Roman" w:hAnsi="Times New Roman" w:cs="Times New Roman"/>
          <w:b/>
          <w:sz w:val="24"/>
          <w:szCs w:val="24"/>
        </w:rPr>
        <w:t>»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лицевой хирургии </w:t>
      </w:r>
    </w:p>
    <w:p w:rsidR="002F49D0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D0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D0" w:rsidRPr="00E73D51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УТВЕРЖДАЮ</w:t>
      </w:r>
    </w:p>
    <w:p w:rsidR="009049E3" w:rsidRPr="00E73D51" w:rsidRDefault="009049E3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D0" w:rsidRDefault="009049E3" w:rsidP="002F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73D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Директор института  </w:t>
      </w:r>
    </w:p>
    <w:p w:rsidR="002F49D0" w:rsidRPr="00E73D51" w:rsidRDefault="002F49D0" w:rsidP="002F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</w:t>
      </w:r>
      <w:r w:rsidR="006A203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6A203F">
        <w:rPr>
          <w:rFonts w:ascii="Times New Roman" w:hAnsi="Times New Roman" w:cs="Times New Roman"/>
          <w:sz w:val="24"/>
          <w:szCs w:val="24"/>
        </w:rPr>
        <w:t>М.Ш.Мустафаев</w:t>
      </w:r>
      <w:proofErr w:type="spellEnd"/>
    </w:p>
    <w:p w:rsidR="006A203F" w:rsidRPr="00E73D51" w:rsidRDefault="006A203F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E73D51" w:rsidRDefault="009049E3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«____» ________________ 20</w:t>
      </w:r>
      <w:r w:rsidR="00411456">
        <w:rPr>
          <w:rFonts w:ascii="Times New Roman" w:hAnsi="Times New Roman" w:cs="Times New Roman"/>
          <w:sz w:val="24"/>
          <w:szCs w:val="24"/>
        </w:rPr>
        <w:t>21</w:t>
      </w:r>
      <w:r w:rsidRPr="00E73D5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41145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E73D51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1A1B5C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>Геронтостоматология</w:t>
      </w:r>
      <w:proofErr w:type="spellEnd"/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слизистой оболочки полости рта»</w:t>
      </w:r>
    </w:p>
    <w:p w:rsidR="00626363" w:rsidRPr="001A1B5C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5C">
        <w:rPr>
          <w:rFonts w:ascii="Times New Roman" w:hAnsi="Times New Roman" w:cs="Times New Roman"/>
          <w:b/>
          <w:sz w:val="24"/>
          <w:szCs w:val="24"/>
        </w:rPr>
        <w:t>(код и наименование дисциплины)</w:t>
      </w:r>
    </w:p>
    <w:p w:rsidR="00626363" w:rsidRPr="001A1B5C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E73D51" w:rsidRDefault="00626363" w:rsidP="00E73D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73D51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E73D51" w:rsidRDefault="00BB48AA" w:rsidP="00E73D51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9C4" w:rsidRPr="00E73D51" w:rsidRDefault="00E479C4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E73D51" w:rsidRDefault="00626363" w:rsidP="00E73D51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ab/>
      </w: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411456">
        <w:rPr>
          <w:rFonts w:ascii="Times New Roman" w:hAnsi="Times New Roman" w:cs="Times New Roman"/>
          <w:b/>
          <w:sz w:val="24"/>
          <w:szCs w:val="24"/>
        </w:rPr>
        <w:t>21</w:t>
      </w:r>
      <w:r w:rsidRPr="00E73D51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73D51" w:rsidRDefault="00E77069" w:rsidP="00E73D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E73D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</w:t>
      </w:r>
      <w:r w:rsidRPr="00E73D51">
        <w:rPr>
          <w:rFonts w:ascii="Times New Roman" w:hAnsi="Times New Roman" w:cs="Times New Roman"/>
          <w:sz w:val="24"/>
          <w:szCs w:val="24"/>
        </w:rPr>
        <w:t>ч</w:t>
      </w:r>
      <w:r w:rsidRPr="00E73D51">
        <w:rPr>
          <w:rFonts w:ascii="Times New Roman" w:hAnsi="Times New Roman" w:cs="Times New Roman"/>
          <w:sz w:val="24"/>
          <w:szCs w:val="24"/>
        </w:rPr>
        <w:t>ки полости рта»</w:t>
      </w:r>
      <w:r w:rsidRPr="00E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BB48AA" w:rsidRPr="00E73D51">
        <w:rPr>
          <w:rFonts w:ascii="Times New Roman" w:eastAsia="Times New Roman" w:hAnsi="Times New Roman" w:cs="Times New Roman"/>
          <w:bCs/>
          <w:sz w:val="24"/>
          <w:szCs w:val="24"/>
        </w:rPr>
        <w:t>Тхазаплижева</w:t>
      </w:r>
      <w:proofErr w:type="spellEnd"/>
      <w:r w:rsidR="00BB48AA"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М.Т.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1145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9049E3"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5C1742" w:rsidRPr="005C52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C52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E73D51" w:rsidRDefault="004A5A9F" w:rsidP="00E73D51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9,10 семестр</w:t>
      </w:r>
      <w:r w:rsidR="009049E3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, 5 курса</w:t>
      </w: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73D51" w:rsidTr="004A5A9F">
        <w:trPr>
          <w:jc w:val="right"/>
        </w:trPr>
        <w:tc>
          <w:tcPr>
            <w:tcW w:w="2919" w:type="dxa"/>
          </w:tcPr>
          <w:p w:rsidR="004A5A9F" w:rsidRPr="00E73D51" w:rsidRDefault="004A5A9F" w:rsidP="00E73D5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73D51" w:rsidTr="004A5A9F">
        <w:trPr>
          <w:jc w:val="right"/>
        </w:trPr>
        <w:tc>
          <w:tcPr>
            <w:tcW w:w="2919" w:type="dxa"/>
          </w:tcPr>
          <w:p w:rsidR="004A5A9F" w:rsidRPr="00E73D51" w:rsidRDefault="004A5A9F" w:rsidP="00E73D5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Содержание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73D51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E73D51" w:rsidRDefault="009049E3" w:rsidP="00E73D5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E73D51" w:rsidRDefault="00B507DD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760FB3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FF" w:rsidRPr="00760FB3" w:rsidRDefault="00AA71F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FF" w:rsidRPr="00760FB3" w:rsidRDefault="00AA71F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pStyle w:val="a4"/>
        <w:spacing w:line="240" w:lineRule="auto"/>
        <w:ind w:firstLine="709"/>
        <w:rPr>
          <w:b/>
          <w:bCs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E73D51" w:rsidRDefault="00AE66C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9C4" w:rsidRDefault="00E479C4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9C4" w:rsidRPr="00E73D51" w:rsidRDefault="00E479C4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E73D51" w:rsidRDefault="00267841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ы</w:t>
      </w:r>
      <w:r w:rsidR="00AB4A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4A44">
        <w:rPr>
          <w:rFonts w:ascii="Times New Roman" w:hAnsi="Times New Roman" w:cs="Times New Roman"/>
          <w:b/>
          <w:sz w:val="24"/>
          <w:szCs w:val="24"/>
        </w:rPr>
        <w:t>модуля)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E73D51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</w:t>
      </w:r>
      <w:r w:rsidRPr="00E73D51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E73D51">
        <w:rPr>
          <w:rFonts w:ascii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пац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 xml:space="preserve">ентам с </w:t>
      </w:r>
      <w:r w:rsidRPr="00E73D51">
        <w:rPr>
          <w:rFonts w:ascii="Times New Roman" w:hAnsi="Times New Roman" w:cs="Times New Roman"/>
          <w:sz w:val="24"/>
          <w:szCs w:val="24"/>
        </w:rPr>
        <w:t>заболеваниями слизистой оболочки рта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 xml:space="preserve"> амбулаторную стоматологическую тер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певтическую помощь.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E73D51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дисциплины: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 заболеваниями слизистой оболочки рта;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лечения больных заболеваниями слизистой оболочки рта;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лечению больных с заболеваниями слизистой оболочки рта в стоматологических пол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>клиниках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E73D51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E73D51">
        <w:rPr>
          <w:rFonts w:ascii="Times New Roman" w:hAnsi="Times New Roman" w:cs="Times New Roman"/>
          <w:sz w:val="24"/>
          <w:szCs w:val="24"/>
        </w:rPr>
        <w:t>заболеваний слизистой оболочки рта;</w:t>
      </w:r>
    </w:p>
    <w:p w:rsidR="000C1C0B" w:rsidRPr="00E73D51" w:rsidRDefault="00685C2A" w:rsidP="00E73D51">
      <w:pPr>
        <w:pStyle w:val="a6"/>
        <w:suppressLineNumbers/>
        <w:spacing w:after="0"/>
        <w:ind w:left="0"/>
        <w:jc w:val="both"/>
        <w:rPr>
          <w:b/>
        </w:rPr>
      </w:pPr>
      <w:r w:rsidRPr="00E73D51">
        <w:t>- освоение студентами   особенностей обследования и стоматологического лечения бол</w:t>
      </w:r>
      <w:r w:rsidRPr="00E73D51">
        <w:t>ь</w:t>
      </w:r>
      <w:r w:rsidRPr="00E73D51">
        <w:t>ных пожилого и старческого возраста.</w:t>
      </w: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</w:pPr>
      <w:r w:rsidRPr="00E73D51">
        <w:rPr>
          <w:b/>
        </w:rPr>
        <w:t>2.Место дисциплин</w:t>
      </w:r>
      <w:proofErr w:type="gramStart"/>
      <w:r w:rsidRPr="00E73D51">
        <w:rPr>
          <w:b/>
        </w:rPr>
        <w:t>ы</w:t>
      </w:r>
      <w:r w:rsidR="00AB4A44">
        <w:rPr>
          <w:b/>
        </w:rPr>
        <w:t>(</w:t>
      </w:r>
      <w:proofErr w:type="gramEnd"/>
      <w:r w:rsidR="00AB4A44">
        <w:rPr>
          <w:b/>
        </w:rPr>
        <w:t xml:space="preserve">модуля)  </w:t>
      </w:r>
      <w:r w:rsidRPr="00E73D51">
        <w:rPr>
          <w:b/>
        </w:rPr>
        <w:t>в структуре О</w:t>
      </w:r>
      <w:r w:rsidR="00891FBD" w:rsidRPr="00E73D51">
        <w:rPr>
          <w:b/>
        </w:rPr>
        <w:t>П</w:t>
      </w:r>
      <w:r w:rsidRPr="00E73D51">
        <w:rPr>
          <w:b/>
        </w:rPr>
        <w:t>ОП ВО</w:t>
      </w:r>
    </w:p>
    <w:p w:rsidR="000C1C0B" w:rsidRPr="00E73D51" w:rsidRDefault="004C4219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C1C0B" w:rsidRPr="00E73D51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="000C1C0B" w:rsidRPr="00E73D51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полости рта»</w:t>
      </w: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</w:pPr>
      <w:r w:rsidRPr="00E73D51">
        <w:t xml:space="preserve">относится к базовой части </w:t>
      </w:r>
      <w:r w:rsidR="00891FBD" w:rsidRPr="00E73D51">
        <w:t>Бло</w:t>
      </w:r>
      <w:r w:rsidR="00CB4CED" w:rsidRPr="00E73D51">
        <w:t>к</w:t>
      </w:r>
      <w:r w:rsidR="00891FBD" w:rsidRPr="00E73D51">
        <w:t>а</w:t>
      </w:r>
      <w:proofErr w:type="gramStart"/>
      <w:r w:rsidR="00891FBD" w:rsidRPr="00E73D51">
        <w:t>1</w:t>
      </w:r>
      <w:proofErr w:type="gramEnd"/>
      <w:r w:rsidR="00035873" w:rsidRPr="00E73D51">
        <w:t xml:space="preserve">, изучается </w:t>
      </w:r>
      <w:r w:rsidR="002942EF" w:rsidRPr="00E73D51">
        <w:t>в</w:t>
      </w:r>
      <w:r w:rsidR="00035873" w:rsidRPr="00E73D51">
        <w:t xml:space="preserve"> 9,10 семестрах 5 курса</w:t>
      </w:r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E73D51">
        <w:rPr>
          <w:rFonts w:ascii="Times New Roman" w:hAnsi="Times New Roman" w:cs="Times New Roman"/>
          <w:sz w:val="24"/>
          <w:szCs w:val="24"/>
        </w:rPr>
        <w:t>формирующиеся в</w:t>
      </w:r>
      <w:r w:rsidRPr="00E73D51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E73D51" w:rsidRDefault="00DB1567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51">
        <w:rPr>
          <w:rFonts w:ascii="Times New Roman" w:hAnsi="Times New Roman" w:cs="Times New Roman"/>
          <w:sz w:val="24"/>
          <w:szCs w:val="24"/>
        </w:rPr>
        <w:t>-</w:t>
      </w:r>
      <w:r w:rsidR="000C1C0B" w:rsidRPr="00E73D51">
        <w:rPr>
          <w:rFonts w:ascii="Times New Roman" w:hAnsi="Times New Roman" w:cs="Times New Roman"/>
          <w:sz w:val="24"/>
          <w:szCs w:val="24"/>
        </w:rPr>
        <w:t>философия, биоэтика, педагогика, психология, правоведение, история медицины, экон</w:t>
      </w:r>
      <w:r w:rsidR="000C1C0B" w:rsidRPr="00E73D51">
        <w:rPr>
          <w:rFonts w:ascii="Times New Roman" w:hAnsi="Times New Roman" w:cs="Times New Roman"/>
          <w:sz w:val="24"/>
          <w:szCs w:val="24"/>
        </w:rPr>
        <w:t>о</w:t>
      </w:r>
      <w:r w:rsidR="000C1C0B" w:rsidRPr="00E73D51">
        <w:rPr>
          <w:rFonts w:ascii="Times New Roman" w:hAnsi="Times New Roman" w:cs="Times New Roman"/>
          <w:sz w:val="24"/>
          <w:szCs w:val="24"/>
        </w:rPr>
        <w:t>мика, л</w:t>
      </w:r>
      <w:r w:rsidRPr="00E73D51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="000C1C0B" w:rsidRPr="00E73D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51">
        <w:rPr>
          <w:rFonts w:ascii="Times New Roman" w:hAnsi="Times New Roman" w:cs="Times New Roman"/>
          <w:sz w:val="24"/>
          <w:szCs w:val="24"/>
        </w:rPr>
        <w:t>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</w:t>
      </w:r>
      <w:r w:rsidRPr="00E73D51">
        <w:rPr>
          <w:rFonts w:ascii="Times New Roman" w:hAnsi="Times New Roman" w:cs="Times New Roman"/>
          <w:sz w:val="24"/>
          <w:szCs w:val="24"/>
        </w:rPr>
        <w:t>о</w:t>
      </w:r>
      <w:r w:rsidRPr="00E73D51">
        <w:rPr>
          <w:rFonts w:ascii="Times New Roman" w:hAnsi="Times New Roman" w:cs="Times New Roman"/>
          <w:sz w:val="24"/>
          <w:szCs w:val="24"/>
        </w:rPr>
        <w:t>логия, норм</w:t>
      </w:r>
      <w:r w:rsidR="00DB1567" w:rsidRPr="00E73D51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E73D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E73D51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</w:p>
    <w:p w:rsidR="00035873" w:rsidRPr="00E73D51" w:rsidRDefault="00035873" w:rsidP="00E73D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E73D51" w:rsidRDefault="000C1C0B" w:rsidP="00E73D51">
      <w:pPr>
        <w:pStyle w:val="a6"/>
        <w:suppressLineNumbers/>
        <w:spacing w:after="0"/>
        <w:ind w:left="0"/>
      </w:pPr>
    </w:p>
    <w:p w:rsidR="000C1C0B" w:rsidRPr="00E73D51" w:rsidRDefault="000C1C0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E73D51" w:rsidRDefault="000C1C0B" w:rsidP="00E73D5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891FBD" w:rsidRPr="00E73D5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73D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специальности 31.05.03.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«Стом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тология»</w:t>
      </w:r>
    </w:p>
    <w:p w:rsidR="00927068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E73D51" w:rsidRDefault="00685C2A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73D51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E73D51">
        <w:rPr>
          <w:b/>
        </w:rPr>
        <w:t>Знать: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 xml:space="preserve">- теоретические основы строения, состояния и функционирования слизистой оболочки рта в норме и при патологии; 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 xml:space="preserve">- методы обследования, диагностики, профилактики и </w:t>
      </w:r>
      <w:r w:rsidRPr="00E73D51">
        <w:rPr>
          <w:spacing w:val="1"/>
        </w:rPr>
        <w:t>терапевтическ</w:t>
      </w:r>
      <w:r w:rsidRPr="00E73D51">
        <w:t>ого лечения при п</w:t>
      </w:r>
      <w:r w:rsidRPr="00E73D51">
        <w:t>а</w:t>
      </w:r>
      <w:r w:rsidRPr="00E73D51">
        <w:t>тологии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 xml:space="preserve">- причины осложнений в </w:t>
      </w:r>
      <w:r w:rsidRPr="00E73D51">
        <w:rPr>
          <w:spacing w:val="1"/>
        </w:rPr>
        <w:t>терапевтическ</w:t>
      </w:r>
      <w:r w:rsidRPr="00E73D51">
        <w:t>ой практике при лечении заболеваний слизистой оболочки рта и способы их предупреждения;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основные ошибки, возникающие при лечении заболеваний слизистой оболочки рта, и методы их профилактики и устранения;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особенности стоматологического статуса больных пожилого и старческого и возраста.</w:t>
      </w:r>
    </w:p>
    <w:p w:rsidR="00F946D8" w:rsidRPr="00E73D51" w:rsidRDefault="00F946D8" w:rsidP="00E73D51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E73D51">
        <w:rPr>
          <w:b/>
        </w:rPr>
        <w:t xml:space="preserve">Уметь: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 xml:space="preserve">- проводить обследование пациента с заболеваниями слизистой оболочки рта в полном объеме с использованием дополнительных методов;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ставить диагноз в соответствии с действующей классификацией и проводить диффере</w:t>
      </w:r>
      <w:r w:rsidRPr="00E73D51">
        <w:t>н</w:t>
      </w:r>
      <w:r w:rsidRPr="00E73D51">
        <w:t>циальную диагностику;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составлять комплексный план лечения заболевания по необходимости с привлечением специалистов других специальностей;</w:t>
      </w:r>
    </w:p>
    <w:p w:rsidR="00685C2A" w:rsidRPr="00E73D51" w:rsidRDefault="00685C2A" w:rsidP="00E7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- проводить лечение болезней слизистой оболочки рта у пациентов различного возраста;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проводить профилактические мероприятия и просветительскую работу у пациентов с з</w:t>
      </w:r>
      <w:r w:rsidRPr="00E73D51">
        <w:t>а</w:t>
      </w:r>
      <w:r w:rsidRPr="00E73D51">
        <w:t>болеваниями слизистой оболочки рта; - выявлять, устранять и предпринимать меры по предотвращению возможных осложнений при лечении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проводить стоматологическое лечение больных пожилого и старческого возраста;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-при необходимости определить сроки диспансеризации.</w:t>
      </w:r>
    </w:p>
    <w:p w:rsidR="00F946D8" w:rsidRPr="00E73D51" w:rsidRDefault="00F946D8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</w:p>
    <w:p w:rsidR="00685C2A" w:rsidRPr="00E73D51" w:rsidRDefault="00FD2829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  <w:r w:rsidRPr="00E73D51">
        <w:rPr>
          <w:b/>
        </w:rPr>
        <w:t>Владеть</w:t>
      </w:r>
    </w:p>
    <w:p w:rsidR="00685C2A" w:rsidRPr="00E73D51" w:rsidRDefault="00685C2A" w:rsidP="00E73D51">
      <w:pPr>
        <w:pStyle w:val="a8"/>
        <w:tabs>
          <w:tab w:val="clear" w:pos="720"/>
          <w:tab w:val="left" w:pos="9120"/>
        </w:tabs>
        <w:spacing w:line="240" w:lineRule="auto"/>
        <w:ind w:left="0" w:firstLine="0"/>
        <w:jc w:val="left"/>
      </w:pPr>
      <w:r w:rsidRPr="00E73D51">
        <w:t>- основными и дополнительными методами диагностики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методами выполнения аппликаций, орошений, промывания, инъекций под элементы п</w:t>
      </w:r>
      <w:r w:rsidRPr="00E73D51">
        <w:t>о</w:t>
      </w:r>
      <w:r w:rsidRPr="00E73D51">
        <w:t>ражения;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умение заполнения медицинской документации (истории болезни, консультативные з</w:t>
      </w:r>
      <w:r w:rsidRPr="00E73D51">
        <w:t>а</w:t>
      </w:r>
      <w:r w:rsidRPr="00E73D51">
        <w:t>ключения, направления на лабораторные исследования, рецепты);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выполнять пальпацию регионарных лимфатических узлов, лицевого скелета, мягких тканей лица;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выполнять пальпацию слизистой оболочки рта и морфологических элементов пораж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ния;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определять морфологические элементы поражения;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взять материал для цитологического исследования (соскобы, отпечатки);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взять материал для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 xml:space="preserve"> на грибы,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фузоспирохеты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>.</w:t>
      </w:r>
    </w:p>
    <w:p w:rsidR="00846080" w:rsidRPr="00E73D51" w:rsidRDefault="00846080" w:rsidP="00E73D51">
      <w:pPr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70" w:rsidRPr="00E73D51" w:rsidRDefault="007E4D7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70" w:rsidRPr="00E73D51" w:rsidRDefault="007E4D7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73D51" w:rsidRDefault="00E10C39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 (модуля)</w:t>
      </w:r>
    </w:p>
    <w:p w:rsidR="00E10C39" w:rsidRPr="00E73D51" w:rsidRDefault="0061091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E73D51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E73D51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E10C39" w:rsidRPr="00E73D51" w:rsidRDefault="00E10C3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175"/>
        <w:gridCol w:w="1182"/>
        <w:gridCol w:w="2103"/>
      </w:tblGrid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82" w:type="dxa"/>
          </w:tcPr>
          <w:p w:rsidR="000B4E8A" w:rsidRPr="00E73D51" w:rsidRDefault="000B4E8A" w:rsidP="000B4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2103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Обследование больного с заб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леваниями сл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 xml:space="preserve">зистой оболочки рта. </w:t>
            </w:r>
          </w:p>
        </w:tc>
        <w:tc>
          <w:tcPr>
            <w:tcW w:w="5175" w:type="dxa"/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обследования больного с забол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ваниями слизистой оболочки рта. Дифференц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альный диагноз. Окончательный диагноз. С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ставление плана комплексного лечения. Ос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бенности проявления элементов поражения и патологических процессов на слизистой об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лочке рта.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Классификация заболеваний слизистой оболо</w:t>
            </w:r>
            <w:r w:rsidRPr="00E73D51">
              <w:rPr>
                <w:sz w:val="24"/>
                <w:szCs w:val="24"/>
              </w:rPr>
              <w:t>ч</w:t>
            </w:r>
            <w:r w:rsidRPr="00E73D51">
              <w:rPr>
                <w:sz w:val="24"/>
                <w:szCs w:val="24"/>
              </w:rPr>
              <w:t>ки рта (ММСИ), МКБ-10.</w:t>
            </w:r>
          </w:p>
        </w:tc>
        <w:tc>
          <w:tcPr>
            <w:tcW w:w="1182" w:type="dxa"/>
            <w:vAlign w:val="center"/>
          </w:tcPr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Pr="00E73D51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 ; РК</w:t>
            </w:r>
            <w:r w:rsidR="00691A5C">
              <w:rPr>
                <w:rFonts w:ascii="Times New Roman" w:hAnsi="Times New Roman" w:cs="Times New Roman"/>
                <w:sz w:val="24"/>
                <w:szCs w:val="24"/>
              </w:rPr>
              <w:t>;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Травматические поражения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Травма вследствие механических, химических, физических воздействий (травматическая эр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зия, язва, лучевое поражение, ожог,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).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Клиника, диагностика, дифференциальная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лечение, профилактика. Проявления лейкоплакии в полости рта. Классификация, этиология, патогенез, клиника, диагностика, дифференциальная диагностика, лечение, пр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филактика.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6D709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</w:t>
            </w:r>
            <w:r w:rsidR="00AD17CF">
              <w:rPr>
                <w:rFonts w:ascii="Times New Roman" w:hAnsi="Times New Roman" w:cs="Times New Roman"/>
                <w:sz w:val="24"/>
                <w:szCs w:val="24"/>
              </w:rPr>
              <w:t xml:space="preserve">; МН 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слизистой об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Бактериальные инфекции: кандидоз, </w:t>
            </w: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 В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русные заболевания: острый и хронический р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цидивирующий герпес, опоясывающий лишай. Этиология, патогенез, клиника, диагностика, дифференциальная диагностика, лечение.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Острые инфекционные заболевания. Хронич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ские инфекции (сифилис, туберкулез)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слизистой об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Ангионевротический отёк </w:t>
            </w:r>
            <w:proofErr w:type="spellStart"/>
            <w:r w:rsidRPr="00E73D51">
              <w:rPr>
                <w:sz w:val="24"/>
                <w:szCs w:val="24"/>
              </w:rPr>
              <w:t>Квинке</w:t>
            </w:r>
            <w:proofErr w:type="spellEnd"/>
            <w:r w:rsidRPr="00E73D51">
              <w:rPr>
                <w:sz w:val="24"/>
                <w:szCs w:val="24"/>
              </w:rPr>
              <w:t xml:space="preserve">. Аллергия на стоматологические материалы. Лекарственная аллергия. </w:t>
            </w: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 xml:space="preserve">ма. 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Изменения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рта при дермат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зах.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Пузырчатка Красная волчанка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Классификация, 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Изменения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полости рта при некоторых си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темных забол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ваниях и нар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шениях обмена веществ.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ваниях пищеварительной, сердечно – сосуд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 xml:space="preserve">стой, эндокринной систем,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зах,  при заболеваниях крови. Клиника, диагн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стика, дифференциальная диагностика, си</w:t>
            </w:r>
            <w:r w:rsidRPr="00E73D51">
              <w:rPr>
                <w:sz w:val="24"/>
                <w:szCs w:val="24"/>
              </w:rPr>
              <w:t>м</w:t>
            </w:r>
            <w:r w:rsidRPr="00E73D51">
              <w:rPr>
                <w:sz w:val="24"/>
                <w:szCs w:val="24"/>
              </w:rPr>
              <w:t>птоматическое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языка </w:t>
            </w:r>
          </w:p>
        </w:tc>
        <w:tc>
          <w:tcPr>
            <w:tcW w:w="5175" w:type="dxa"/>
            <w:tcBorders>
              <w:bottom w:val="nil"/>
            </w:tcBorders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Аномалии и заболевания языка. Складчатый язык, ромбовидный, десквамативный глоссит. Волосатый (чёрный) язык. </w:t>
            </w:r>
            <w:proofErr w:type="spellStart"/>
            <w:r w:rsidRPr="00E73D51">
              <w:rPr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sz w:val="24"/>
                <w:szCs w:val="24"/>
              </w:rPr>
              <w:t>Глосса</w:t>
            </w:r>
            <w:r w:rsidRPr="00E73D51">
              <w:rPr>
                <w:sz w:val="24"/>
                <w:szCs w:val="24"/>
              </w:rPr>
              <w:t>л</w:t>
            </w:r>
            <w:r w:rsidRPr="00E73D51">
              <w:rPr>
                <w:sz w:val="24"/>
                <w:szCs w:val="24"/>
              </w:rPr>
              <w:t>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  <w:vAlign w:val="center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Заболевания губ.</w:t>
            </w:r>
          </w:p>
        </w:tc>
        <w:tc>
          <w:tcPr>
            <w:tcW w:w="5175" w:type="dxa"/>
            <w:tcBorders>
              <w:top w:val="nil"/>
            </w:tcBorders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sz w:val="24"/>
                <w:szCs w:val="24"/>
              </w:rPr>
              <w:t xml:space="preserve">, экзематозный, </w:t>
            </w:r>
            <w:proofErr w:type="spellStart"/>
            <w:r w:rsidRPr="00E73D51">
              <w:rPr>
                <w:sz w:val="24"/>
                <w:szCs w:val="24"/>
              </w:rPr>
              <w:t>макрохейлитМелькерсона</w:t>
            </w:r>
            <w:proofErr w:type="spellEnd"/>
            <w:r w:rsidRPr="00E73D51">
              <w:rPr>
                <w:sz w:val="24"/>
                <w:szCs w:val="24"/>
              </w:rPr>
              <w:t>–Розенталя. Этиология, патогенез, клиника,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дифференциальная диагностика, 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чение.</w:t>
            </w:r>
          </w:p>
        </w:tc>
        <w:tc>
          <w:tcPr>
            <w:tcW w:w="1182" w:type="dxa"/>
            <w:vAlign w:val="center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красной каймы губ и слизистой оболочки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E73D51">
              <w:rPr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заболеваний. </w:t>
            </w:r>
            <w:proofErr w:type="spellStart"/>
            <w:r w:rsidRPr="00E73D51">
              <w:rPr>
                <w:sz w:val="24"/>
                <w:szCs w:val="24"/>
              </w:rPr>
              <w:t>АбразивныйпреканцеронозныйхейлитМанганотти</w:t>
            </w:r>
            <w:proofErr w:type="spellEnd"/>
            <w:r w:rsidRPr="00E73D51">
              <w:rPr>
                <w:sz w:val="24"/>
                <w:szCs w:val="24"/>
              </w:rPr>
              <w:t xml:space="preserve">, хронические рецидивирующие трещины губ.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Клиника, диагностика, дифференциальная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профилактика, диспансеризация больных.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Состояние орг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нов полости рта у людей пож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лечения.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состояния твердых тканей зубов, пародонта и слизистой оболочки рта у людей пожилого возраста в норме  и при патологич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ских состояниях. Методы диагностики, проф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лактики и лечения.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</w:tbl>
    <w:p w:rsidR="00606A9C" w:rsidRPr="0051613D" w:rsidRDefault="00606A9C" w:rsidP="00606A9C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606A9C" w:rsidRPr="0051613D" w:rsidRDefault="00606A9C" w:rsidP="00606A9C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606A9C" w:rsidRDefault="00606A9C" w:rsidP="00606A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9C" w:rsidRPr="00F972C2" w:rsidRDefault="00606A9C" w:rsidP="00606A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73D51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 составляет</w:t>
      </w:r>
      <w:r w:rsidR="00AA71FF" w:rsidRPr="00AA71F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035873" w:rsidRPr="00E73D51">
        <w:rPr>
          <w:rFonts w:ascii="Times New Roman" w:hAnsi="Times New Roman" w:cs="Times New Roman"/>
          <w:b/>
          <w:sz w:val="24"/>
          <w:szCs w:val="24"/>
        </w:rPr>
        <w:t>252</w:t>
      </w:r>
      <w:r w:rsidRPr="00E73D51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E73D51" w:rsidRDefault="00B035B8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E10C39" w:rsidRPr="00E73D51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E73D51" w:rsidTr="008E3403">
        <w:trPr>
          <w:trHeight w:val="390"/>
        </w:trPr>
        <w:tc>
          <w:tcPr>
            <w:tcW w:w="6300" w:type="dxa"/>
            <w:vMerge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E73D51" w:rsidRDefault="00EC16F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C39" w:rsidRPr="00E73D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E73D51" w:rsidRDefault="00EC16F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C39" w:rsidRPr="00E73D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E73D51" w:rsidRDefault="00F7473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1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Контактная работа 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5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73F" w:rsidRPr="00E7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</w:t>
            </w:r>
            <w:r w:rsidR="00625F0A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350" w:type="dxa"/>
          </w:tcPr>
          <w:p w:rsidR="00E10C39" w:rsidRPr="00E73D51" w:rsidRDefault="007B33C7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73F" w:rsidRPr="00E73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AA71FF" w:rsidRDefault="00AA71F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E10C39" w:rsidRPr="00A31CFC" w:rsidRDefault="00A31CFC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270E26" w:rsidRPr="00E73D51" w:rsidTr="008E340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73D51" w:rsidRDefault="00CB1B7A" w:rsidP="00E73D51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50" w:type="dxa"/>
          </w:tcPr>
          <w:p w:rsidR="00270E26" w:rsidRPr="00AA71FF" w:rsidRDefault="00AA71F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270E26" w:rsidRPr="00AA71FF" w:rsidRDefault="00CB1B7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7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</w:tcPr>
          <w:p w:rsidR="00270E26" w:rsidRPr="00A31CFC" w:rsidRDefault="00A31CFC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270E26" w:rsidRPr="00E73D51" w:rsidTr="008E3403">
        <w:tc>
          <w:tcPr>
            <w:tcW w:w="6300" w:type="dxa"/>
          </w:tcPr>
          <w:p w:rsidR="00270E26" w:rsidRPr="00E73D51" w:rsidRDefault="0037739E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промежуточной аттестации</w:t>
            </w:r>
            <w:r w:rsidR="00270E26"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CED" w:rsidRPr="00E73D51" w:rsidRDefault="00CB4CED" w:rsidP="00E73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440"/>
      </w:tblGrid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семестр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Обследование больного с заболеваниями слизистой оболочки рта.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1.Особенности обследование больного с заболеваниями слизистой оболочки рта.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2.Основные и дополнительные методы обследования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больного с заболеваниями слизистой оболочки рта 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1.Дифференциальный диагноз. Окончательный диагноз. 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2.Составление плана комплексного лечения.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Травма вследствие механических воздействий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Лучевое поражение.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Лейкоплакии.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Кандидоз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Вирусные заболевания: острый и хронический рецидивирующий герпес, опоясывающий лишай.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Хронические инфекционные заболевания (сифилис, туберкулез)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эритема.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40" w:type="dxa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Пузырчатка Красная волчанка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пищеварительной, сердечно – сосудистой, эндокринной систем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Поражение слизистой оболочки рта при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авитаминозах, при заболеваниях крови.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Аномалии и заболевания языка. Складчатый язык, ромбовидный, десквамативный глоссит. Вол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сатый (чёрный) язык. </w:t>
            </w:r>
            <w:proofErr w:type="spellStart"/>
            <w:r w:rsidRPr="00E73D51">
              <w:rPr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sz w:val="24"/>
                <w:szCs w:val="24"/>
              </w:rPr>
              <w:t xml:space="preserve">, экзематозный, </w:t>
            </w:r>
            <w:proofErr w:type="spellStart"/>
            <w:r w:rsidRPr="00E73D51">
              <w:rPr>
                <w:sz w:val="24"/>
                <w:szCs w:val="24"/>
              </w:rPr>
              <w:t>макрохейлитМелькерсона</w:t>
            </w:r>
            <w:proofErr w:type="spellEnd"/>
            <w:r w:rsidRPr="00E73D51">
              <w:rPr>
                <w:sz w:val="24"/>
                <w:szCs w:val="24"/>
              </w:rPr>
              <w:t>–Розенталя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1.Классификация </w:t>
            </w:r>
            <w:proofErr w:type="spellStart"/>
            <w:r w:rsidRPr="00E73D51">
              <w:rPr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Признаки Малигнизации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3.Онкологическая настороженность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Состояние органов полости рта у людей пожилого возраста.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1.Особенности состояния твердых тканей зубов, пародонта и слизистой оболочки рта у людей п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жилого возраста в норме и при патологических состояниях.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2.Методы диагностики, профилактики и лечения.</w:t>
            </w:r>
          </w:p>
        </w:tc>
      </w:tr>
    </w:tbl>
    <w:p w:rsidR="00736CCF" w:rsidRPr="00E73D51" w:rsidRDefault="00736CC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E73D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E73D51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720"/>
      </w:tblGrid>
      <w:tr w:rsidR="008027CC" w:rsidRPr="00E73D51" w:rsidTr="00E05797">
        <w:trPr>
          <w:trHeight w:val="359"/>
        </w:trPr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семестр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обследования больного с заболеваниями слизистой оболочки рта.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 xml:space="preserve">циальный диагноз. Окончательный диагноз. Составление плана комплексного лечения. Особенности проявления элементов поражения и патологических процессов на слизистой оболочке </w:t>
            </w:r>
            <w:proofErr w:type="spellStart"/>
            <w:r w:rsidRPr="00E73D51">
              <w:rPr>
                <w:sz w:val="24"/>
                <w:szCs w:val="24"/>
              </w:rPr>
              <w:t>рта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лассификация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 слизистой оболочки рта (ММСИ), МКБ-10.Классификация травматических поражений </w:t>
            </w:r>
            <w:proofErr w:type="spellStart"/>
            <w:r w:rsidRPr="00E73D51">
              <w:rPr>
                <w:sz w:val="24"/>
                <w:szCs w:val="24"/>
              </w:rPr>
              <w:t>сопр</w:t>
            </w:r>
            <w:proofErr w:type="spellEnd"/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Травма вследствие механических </w:t>
            </w:r>
            <w:proofErr w:type="spellStart"/>
            <w:r w:rsidRPr="00E73D51">
              <w:rPr>
                <w:sz w:val="24"/>
                <w:szCs w:val="24"/>
              </w:rPr>
              <w:t>воздействий</w:t>
            </w:r>
            <w:proofErr w:type="gramStart"/>
            <w:r w:rsidRPr="00E73D51">
              <w:rPr>
                <w:sz w:val="24"/>
                <w:szCs w:val="24"/>
              </w:rPr>
              <w:t>.Э</w:t>
            </w:r>
            <w:proofErr w:type="gramEnd"/>
            <w:r w:rsidRPr="00E73D51">
              <w:rPr>
                <w:sz w:val="24"/>
                <w:szCs w:val="24"/>
              </w:rPr>
              <w:t>тиология</w:t>
            </w:r>
            <w:proofErr w:type="spellEnd"/>
            <w:r w:rsidRPr="00E73D51">
              <w:rPr>
                <w:sz w:val="24"/>
                <w:szCs w:val="24"/>
              </w:rPr>
              <w:t>, патогенез.</w:t>
            </w:r>
          </w:p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Клиника,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</w:t>
            </w:r>
            <w:proofErr w:type="gramStart"/>
            <w:r w:rsidRPr="00E73D51">
              <w:rPr>
                <w:sz w:val="24"/>
                <w:szCs w:val="24"/>
              </w:rPr>
              <w:t>.П</w:t>
            </w:r>
            <w:proofErr w:type="gramEnd"/>
            <w:r w:rsidRPr="00E73D51">
              <w:rPr>
                <w:sz w:val="24"/>
                <w:szCs w:val="24"/>
              </w:rPr>
              <w:t>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Химическая и физическая </w:t>
            </w:r>
            <w:proofErr w:type="spellStart"/>
            <w:r w:rsidRPr="00E73D51">
              <w:rPr>
                <w:sz w:val="24"/>
                <w:szCs w:val="24"/>
              </w:rPr>
              <w:t>травмы</w:t>
            </w:r>
            <w:proofErr w:type="gramStart"/>
            <w:r w:rsidRPr="00E73D51">
              <w:rPr>
                <w:sz w:val="24"/>
                <w:szCs w:val="24"/>
              </w:rPr>
              <w:t>.Э</w:t>
            </w:r>
            <w:proofErr w:type="gramEnd"/>
            <w:r w:rsidRPr="00E73D51">
              <w:rPr>
                <w:sz w:val="24"/>
                <w:szCs w:val="24"/>
              </w:rPr>
              <w:t>тиология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патогенез.Клиника</w:t>
            </w:r>
            <w:proofErr w:type="spellEnd"/>
            <w:r w:rsidRPr="00E73D51">
              <w:rPr>
                <w:sz w:val="24"/>
                <w:szCs w:val="24"/>
              </w:rPr>
              <w:t>, диагностика,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 xml:space="preserve">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  <w:r w:rsidR="007A25E3" w:rsidRPr="00E73D51">
              <w:rPr>
                <w:sz w:val="24"/>
                <w:szCs w:val="24"/>
              </w:rPr>
              <w:t xml:space="preserve"> 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Лучевое поражение </w:t>
            </w:r>
            <w:proofErr w:type="spellStart"/>
            <w:r w:rsidRPr="00E73D51">
              <w:rPr>
                <w:sz w:val="24"/>
                <w:szCs w:val="24"/>
              </w:rPr>
              <w:t>сопр</w:t>
            </w:r>
            <w:proofErr w:type="spellEnd"/>
            <w:r w:rsidRPr="00E73D51">
              <w:rPr>
                <w:sz w:val="24"/>
                <w:szCs w:val="24"/>
              </w:rPr>
              <w:t xml:space="preserve">. Этиология, </w:t>
            </w:r>
            <w:proofErr w:type="spellStart"/>
            <w:r w:rsidRPr="00E73D51">
              <w:rPr>
                <w:sz w:val="24"/>
                <w:szCs w:val="24"/>
              </w:rPr>
              <w:t>патогенез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линика</w:t>
            </w:r>
            <w:proofErr w:type="spellEnd"/>
            <w:r w:rsidRPr="00E73D51">
              <w:rPr>
                <w:sz w:val="24"/>
                <w:szCs w:val="24"/>
              </w:rPr>
              <w:t xml:space="preserve">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Лейкоплакия. Этиология, </w:t>
            </w:r>
            <w:proofErr w:type="spellStart"/>
            <w:r w:rsidRPr="00E73D51">
              <w:rPr>
                <w:sz w:val="24"/>
                <w:szCs w:val="24"/>
              </w:rPr>
              <w:t>патогенез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линика</w:t>
            </w:r>
            <w:proofErr w:type="spellEnd"/>
            <w:r w:rsidRPr="00E73D51">
              <w:rPr>
                <w:sz w:val="24"/>
                <w:szCs w:val="24"/>
              </w:rPr>
              <w:t xml:space="preserve">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lastRenderedPageBreak/>
              <w:t>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Кандидоз.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  <w:shd w:val="clear" w:color="auto" w:fill="auto"/>
          </w:tcPr>
          <w:p w:rsidR="007A25E3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Вирусные заболевания: острый и хронический рецидивирующий герпес, опоясывающий лишай. Этиология, патогенез, клиника, диагностика, дифференциальная диагностика, леч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proofErr w:type="gramStart"/>
            <w:r w:rsidRPr="00E73D51">
              <w:rPr>
                <w:sz w:val="24"/>
                <w:szCs w:val="24"/>
              </w:rPr>
              <w:t>Хронические инфекции (сифилис, туберкулез) Этиология, патогенез, клиника, диагностика, дифференциальная диагностика, лечение.</w:t>
            </w:r>
            <w:proofErr w:type="gramEnd"/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Лекарственная аллергия. </w:t>
            </w: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эритема.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Этиология, патогенез, клиника, диа</w:t>
            </w:r>
            <w:r w:rsidRPr="00E73D51">
              <w:rPr>
                <w:sz w:val="24"/>
                <w:szCs w:val="24"/>
              </w:rPr>
              <w:t>г</w:t>
            </w:r>
            <w:r w:rsidRPr="00E73D51">
              <w:rPr>
                <w:sz w:val="24"/>
                <w:szCs w:val="24"/>
              </w:rPr>
              <w:t>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Классификация,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Пузырчатка. Классификация, этиология, патогенез, клиника, диагностика, дифференциал</w:t>
            </w:r>
            <w:r w:rsidRPr="00E73D51">
              <w:rPr>
                <w:sz w:val="24"/>
                <w:szCs w:val="24"/>
              </w:rPr>
              <w:t>ь</w:t>
            </w:r>
            <w:r w:rsidRPr="00E73D51">
              <w:rPr>
                <w:sz w:val="24"/>
                <w:szCs w:val="24"/>
              </w:rPr>
              <w:t>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Красная волчанка. Классификация, этиология, патогенез, клиника, диагностика,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>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пищеварительной, сердечно – сос</w:t>
            </w:r>
            <w:r w:rsidRPr="00E73D51">
              <w:rPr>
                <w:sz w:val="24"/>
                <w:szCs w:val="24"/>
              </w:rPr>
              <w:t>у</w:t>
            </w:r>
            <w:r w:rsidRPr="00E73D51">
              <w:rPr>
                <w:sz w:val="24"/>
                <w:szCs w:val="24"/>
              </w:rPr>
              <w:t>дистой, эндокринной, нервной систем. Клиника, диагностика, дифференциальная диагн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Поражение слизистой оболочки рта при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авитаминозах, Клиника, диагностика, дифференциальная диагностика,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крови. Клиника, диагностика, ди</w:t>
            </w:r>
            <w:r w:rsidRPr="00E73D51">
              <w:rPr>
                <w:sz w:val="24"/>
                <w:szCs w:val="24"/>
              </w:rPr>
              <w:t>ф</w:t>
            </w:r>
            <w:r w:rsidRPr="00E73D51">
              <w:rPr>
                <w:sz w:val="24"/>
                <w:szCs w:val="24"/>
              </w:rPr>
              <w:t>ференциальная диагностика,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Складчатый язык, десквамативный глоссит. Этиология, патогенез, клиника, диагностика, дифференциальная диагностика, лечение.</w:t>
            </w:r>
            <w:r w:rsidR="00E73D51" w:rsidRPr="00E73D51">
              <w:rPr>
                <w:sz w:val="24"/>
                <w:szCs w:val="24"/>
              </w:rPr>
              <w:t xml:space="preserve"> Ромбовидный. Волосатый (чёрный) язык. Эти</w:t>
            </w:r>
            <w:r w:rsidR="00E73D51" w:rsidRPr="00E73D51">
              <w:rPr>
                <w:sz w:val="24"/>
                <w:szCs w:val="24"/>
              </w:rPr>
              <w:t>о</w:t>
            </w:r>
            <w:r w:rsidR="00E73D51" w:rsidRPr="00E73D51">
              <w:rPr>
                <w:sz w:val="24"/>
                <w:szCs w:val="24"/>
              </w:rPr>
              <w:t>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20" w:type="dxa"/>
            <w:vAlign w:val="center"/>
          </w:tcPr>
          <w:p w:rsidR="008027CC" w:rsidRPr="00E73D51" w:rsidRDefault="00E73D51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sz w:val="24"/>
                <w:szCs w:val="24"/>
              </w:rPr>
              <w:t>. Этиология, патогенез, клиника, диагностика, дифференциальная диагностика, лечение.</w:t>
            </w:r>
          </w:p>
        </w:tc>
      </w:tr>
      <w:tr w:rsidR="00E73D51" w:rsidRPr="00E73D51" w:rsidTr="00FE6062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патогенез, клиника, диагностика, дифференциал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ная диагностика, лечение.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экзематозный, Этиология, патогенез, клиника, диагностика, дифференц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альная диагностика, лечение.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Макрохейлит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–Розенталя. Этиология, патогенез, клиника, диагностика, дифференциальная диагностика, лечение.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красной каймы губ и слизистой оболочки рта.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твердых тканей зубов у людей пожилого возраста в норме и при патологических состояниях. Методы диагностики, профилактики и лечения.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слизистой оболочки и пародонта у людей пожилого возраста в норме и при патологических состояниях. Методы диагностики, профилактики и лечения.</w:t>
            </w:r>
          </w:p>
        </w:tc>
      </w:tr>
    </w:tbl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E73D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73D51" w:rsidRDefault="00E05797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Обследование больного с заболеваниями слизистой оболочки рта. 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Травматические поражения слизистой оболочки рта.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слизистой оболочки рта. Грипп.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Ящур. Опояс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вающий лишай. Острые инфекционные заболевания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 рак </w:t>
            </w:r>
            <w:proofErr w:type="spellStart"/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губ</w:t>
            </w:r>
          </w:p>
        </w:tc>
      </w:tr>
    </w:tbl>
    <w:p w:rsidR="00565E9B" w:rsidRPr="00E73D51" w:rsidRDefault="00565E9B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797" w:rsidRPr="00E73D51" w:rsidRDefault="00E05797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E73D51" w:rsidRDefault="00E05797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E73D51" w:rsidRDefault="00E05797" w:rsidP="00E73D5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E73D51" w:rsidRDefault="00E05797" w:rsidP="00E73D5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73D5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E73D51" w:rsidRDefault="00E05797" w:rsidP="00E73D51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73D5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73D5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E73D51" w:rsidRDefault="00E05797" w:rsidP="00E73D51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E73D51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60956" w:rsidRDefault="006F7029" w:rsidP="00960956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73D51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Выполняемые работы должны хранится в дирекции института в течении учебного года и по требованию предоставляться в руководству института</w:t>
      </w:r>
      <w:proofErr w:type="gramStart"/>
      <w:r w:rsidR="00960956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="00960956">
        <w:rPr>
          <w:rFonts w:ascii="Times New Roman" w:hAnsi="Times New Roman" w:cs="Times New Roman"/>
          <w:spacing w:val="-1"/>
          <w:sz w:val="24"/>
          <w:szCs w:val="24"/>
        </w:rPr>
        <w:t>На рубежные контрольные мероприятия рекомендуется выносить весь программный материал (все ра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делы)по дисциплине .</w:t>
      </w:r>
    </w:p>
    <w:p w:rsidR="00960956" w:rsidRPr="00671C6D" w:rsidRDefault="00960956" w:rsidP="00960956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5E0AEC" w:rsidRDefault="005E0AEC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E0AEC" w:rsidRPr="00E73D51" w:rsidRDefault="005E0AEC" w:rsidP="005E0AEC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стации(9 семестр)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9"/>
      </w:tblGrid>
      <w:tr w:rsidR="005E0AEC" w:rsidRPr="00E73D51" w:rsidTr="00D20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1.Строение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Методы обследования пациентов с заболеваниями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 Элементы поражения и патологические процессы на слизистой оболочке рта.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4.Классификация заболеваний слизистой оболочки рта (ММСИ), МКБ-10.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5.Травма вследствие механических воздействий (травматическая эрозия, язва</w:t>
            </w:r>
            <w:proofErr w:type="gramStart"/>
            <w:r w:rsidRPr="00E73D51">
              <w:rPr>
                <w:sz w:val="24"/>
                <w:szCs w:val="24"/>
              </w:rPr>
              <w:t xml:space="preserve">,). 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6.Травма вследствие химических, физических воздействий.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7.Лучевое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8.Проявления лейкоплакии в полости рта. Классификация, этиология, патогенез, клиника, диагност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 Кандидоз. 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10. Язвенно-некротический стоматит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диагностика, дифференциальная 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11. острый и хронический рецидивирующий герпес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12. Сифилис. Проявления в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13. Туберкулез. Проявления в пол. Рта</w:t>
            </w: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текущего и рубежного контроля успеваемости и промежуточной аттестации(10 семестр)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1.Строение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Методы обследования пациентов с заболеваниями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 Элементы поражения и патологические процессы на слизистой оболочке рта.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4.Классификация заболеваний слизистой оболочки рта (ММСИ), МКБ-10.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5.Травма вследствие механических воздействий (травматическая эрозия, язва</w:t>
            </w:r>
            <w:proofErr w:type="gramStart"/>
            <w:r w:rsidRPr="00E73D51">
              <w:rPr>
                <w:sz w:val="24"/>
                <w:szCs w:val="24"/>
              </w:rPr>
              <w:t xml:space="preserve">,). 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6.Травма вследствие химических, физических воздействий.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7.Лучевое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8.Проявления лейкоплакии в полости рта. Классификация, этиология, патогенез, клиника, диагност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 Кандидоз. 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10. Язвенно-некротический стоматит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11. острый и хронический рецидивирующий герпес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12. Сифилис. Проявления в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13. Туберкулез. Проявления в пол.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14. Контактный аллергический стоматит.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Медикаментозные интоксикации (ртутная, висмутовая и др.) Этиология, клиника, диагностика, дифференциальная диагностика, лечение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 Этиология, клиника, диагностика, дифференциальная диа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17. Хронический рецидивирующий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стоматит. Этиология, клиника, диагностика, диффере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18 Красный плоский лишай.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19. Красная волчанка.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20 Вульгарная пузырчатка.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22. Профессиональные заболевания слизистой оболочки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25 Экзематозный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26. Актинический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27. Метеорологический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диагностика, дифференциальная диагностика, лечение. Контактный аллергический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29. Хронические рецидивирующие трещины губы. Этиология, клиника, диагностика, дифференц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Синдром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- Розенталя Этиология, клиника, диагностика, дифференциальная диагн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31. Десквамативный глоссит.  Складчатый язык. Этиология, клиника, диагностика, дифференциал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32. Черный волосатый язык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33. Ромбовидный язык.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34 Классификация, диагностика, дифференциальная диагностика, профилактика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ваний слизистой оболочки губ.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35. Абразивный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преканцерозный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Манганотти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 дифференциальная диа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36. Профилактика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37 Классификация, диагностика, дифференциальная диагностика, профилактика злокачественных з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болеваний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38. Принципы профилактики и лечения заболеваний СОПР. Диспансеризация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тестовых заданий для рубежного контроля успеваемости и промежуточной атт</w:t>
            </w: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стации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5E0AEC" w:rsidRPr="00E73D51" w:rsidTr="00FE6062">
              <w:tc>
                <w:tcPr>
                  <w:tcW w:w="9355" w:type="dxa"/>
                  <w:hideMark/>
                </w:tcPr>
                <w:p w:rsidR="005E0AEC" w:rsidRPr="00E73D51" w:rsidRDefault="005E0AEC" w:rsidP="00FE6062">
                  <w:pPr>
                    <w:pStyle w:val="2"/>
                    <w:tabs>
                      <w:tab w:val="left" w:pos="180"/>
                      <w:tab w:val="left" w:pos="360"/>
                    </w:tabs>
                    <w:spacing w:after="0" w:line="240" w:lineRule="auto"/>
                    <w:jc w:val="both"/>
                    <w:rPr>
                      <w:b/>
                      <w:caps/>
                    </w:rPr>
                  </w:pPr>
                  <w:r w:rsidRPr="00E73D51">
                    <w:rPr>
                      <w:b/>
                    </w:rPr>
                    <w:t xml:space="preserve">В основе патологических изменений в эпителии </w:t>
                  </w:r>
                  <w:proofErr w:type="gramStart"/>
                  <w:r w:rsidRPr="00E73D51">
                    <w:rPr>
                      <w:b/>
                    </w:rPr>
                    <w:t>при</w:t>
                  </w:r>
                  <w:proofErr w:type="gramEnd"/>
                  <w:r w:rsidRPr="00E73D51">
                    <w:rPr>
                      <w:b/>
                    </w:rPr>
                    <w:t xml:space="preserve"> лейкоплакии лежит</w:t>
                  </w:r>
                </w:p>
              </w:tc>
            </w:tr>
            <w:tr w:rsidR="005E0AEC" w:rsidRPr="00E73D51" w:rsidTr="00FE6062">
              <w:tc>
                <w:tcPr>
                  <w:tcW w:w="9355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гиперкератоз *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дискератоз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акантолиз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спонгиоз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атрофия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Острый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герпетический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стоматит необходимо дифференцировать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многоформной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экссудативной эритемой* 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сифилисом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красной волчанкой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лейкоплакией</w:t>
                  </w:r>
                  <w:proofErr w:type="spellEnd"/>
                </w:p>
                <w:p w:rsidR="005E0AEC" w:rsidRPr="00E73D51" w:rsidRDefault="005E0AEC" w:rsidP="00FE6062">
                  <w:pPr>
                    <w:pStyle w:val="a4"/>
                    <w:overflowPunct w:val="0"/>
                    <w:adjustRightInd w:val="0"/>
                    <w:spacing w:line="240" w:lineRule="auto"/>
                    <w:ind w:left="567"/>
                    <w:jc w:val="both"/>
                    <w:textAlignment w:val="baseline"/>
                    <w:rPr>
                      <w:b/>
                      <w:bCs/>
                      <w:i/>
                      <w:iCs/>
                    </w:rPr>
                  </w:pPr>
                  <w:r w:rsidRPr="00E73D51">
                    <w:t>кандидозом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Некрозы слизистой оболочки полости рта наблюдаются при системных заболеваниях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крови и кроветворных органов *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хронических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ЛОР-органов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центральной нервной системы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хронических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желудочно-кишечного тракта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дыхательных путей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Тяжёлая форма хронического рецидивирующего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афтозного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стоматита – это синдром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Бехчета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Шегрена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Розенталя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Стивенса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–Джонсона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Гриншпана</w:t>
                  </w:r>
                  <w:proofErr w:type="spellEnd"/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pStyle w:val="2"/>
                    <w:tabs>
                      <w:tab w:val="left" w:pos="180"/>
                      <w:tab w:val="left" w:pos="360"/>
                    </w:tabs>
                    <w:spacing w:after="0" w:line="240" w:lineRule="auto"/>
                    <w:rPr>
                      <w:b/>
                    </w:rPr>
                  </w:pPr>
                  <w:r w:rsidRPr="00E73D51">
                    <w:rPr>
                      <w:b/>
                    </w:rPr>
                    <w:t>Для дифференциальной диагностики кандидоза применяют метод исследования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бактериоскопический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гистологический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иммунологический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свечение в лучах Вуда</w:t>
                  </w:r>
                  <w:r w:rsid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E0AEC" w:rsidRPr="00E73D51" w:rsidRDefault="005E0AEC" w:rsidP="00AE3F97">
            <w:pPr>
              <w:widowControl w:val="0"/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клинических ситуаций для текущего и рубежного контроля успеваемости и промеж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точной аттестации</w:t>
            </w:r>
          </w:p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ситуации</w:t>
            </w:r>
            <w:r w:rsidR="00A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Пациент 19 лет обратился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 стоматологу с жалобами на резкую боль в полости рта при приёме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пищи, разговоре, головную боль, недомогание, повышение температуры тела до 38 градусов.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Болен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2 дня. При внешнем осмотре: кожные покровы лица бледно-серого цвета, при пальпации определяются увеличенные, болезненные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подподбородочные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 поднижнечелюстные лимфатические узлы.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полости рта: на слизистой оболочке губ, щёк, нёба на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гиперемированном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фоне имеются множественные резко болезненные мелкоточечные эрозии, покрытые серовато-белым нал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1.Поставьте предварительный диагноз.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Ответ: острый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герпетический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2.Укажите дополнительные методы исследования.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итология</w:t>
            </w:r>
            <w:proofErr w:type="spellEnd"/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3.Проведите дифференциальную диагностику.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эритема, хронический рецидивирующий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4.Укажите этиологию заболевания.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Ответ: вирус простого герпеса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23"/>
            </w:tblGrid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AE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AE3F97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26 лет обратился к стоматологу с жалобами на боль в нижней губе, затрудня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щую широкое открывание рта, приём пищи, а также эстетический недостаток. Впервые заболев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возникло 6 лет тому назад при прохождении воинской службы. Летом наступает заживление; в холодное время возникают рецидивы. Вредные привычки: курит, облизывает и кусает губы. Лечи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самостоятельно различными мазями без выраженного терапевтического эффекта.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внешнем осмотре: кожные покровы без видимых изменений, красная кайма губ сухая. На нижней губе по средней линии имеется глубокая трещина, окружённая помутневшим эпителием и покрытая кровянистой корочкой. При пальпации участка поражения определяется умеренная б</w:t>
                  </w: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лезненность и мягко-эластическая консистенция. Регионарные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лимфоузлы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пальпируются. При осмотре слизистой оболочки рта патологических изменений не выявлено.</w:t>
                  </w: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Задания</w:t>
                  </w: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1.Поставьте предварительный диагноз.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трещина губы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2.Укажите возможные причины заболевания.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вредные привычки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 слизистой оболочки губы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3.Проведите дифференциальную диагностику со сходными заболеваниями.</w:t>
                  </w:r>
                </w:p>
                <w:p w:rsidR="00AE3F97" w:rsidRDefault="00AE3F97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4.Составьте план лечения </w:t>
                  </w:r>
                  <w:r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55646C" w:rsidRDefault="00AE3F97" w:rsidP="0055646C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960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складка</w:t>
                  </w:r>
                  <w:r w:rsidR="00DD712A"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0AEC" w:rsidRPr="00E73D51" w:rsidRDefault="005E0AEC" w:rsidP="00A31CFC">
                  <w:pPr>
                    <w:widowControl w:val="0"/>
                    <w:tabs>
                      <w:tab w:val="left" w:pos="12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AEC" w:rsidRPr="00E73D51" w:rsidRDefault="005E0AEC" w:rsidP="00FE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6. Методическое материалы, определяющие процедуры оценивания знаний, умений, н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выков и (или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 деятельности  </w:t>
            </w:r>
          </w:p>
          <w:p w:rsidR="005E0AEC" w:rsidRPr="00E73D51" w:rsidRDefault="005E0AEC" w:rsidP="00FE6062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CA9" w:rsidRPr="00E73D51" w:rsidRDefault="00894CA9" w:rsidP="00894CA9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дисциплины, подлежащие проверке</w:t>
            </w:r>
          </w:p>
          <w:tbl>
            <w:tblPr>
              <w:tblStyle w:val="af1"/>
              <w:tblW w:w="10015" w:type="dxa"/>
              <w:tblLook w:val="04A0"/>
            </w:tblPr>
            <w:tblGrid>
              <w:gridCol w:w="505"/>
              <w:gridCol w:w="3138"/>
              <w:gridCol w:w="4000"/>
              <w:gridCol w:w="2372"/>
            </w:tblGrid>
            <w:tr w:rsidR="00894CA9" w:rsidRPr="00E73D51" w:rsidTr="00C476E6">
              <w:tc>
                <w:tcPr>
                  <w:tcW w:w="505" w:type="dxa"/>
                </w:tcPr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38" w:type="dxa"/>
                </w:tcPr>
                <w:p w:rsidR="00894CA9" w:rsidRPr="00E73D51" w:rsidRDefault="00894CA9" w:rsidP="00894CA9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Результаты обучения</w:t>
                  </w:r>
                </w:p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4000" w:type="dxa"/>
                  <w:tcBorders>
                    <w:bottom w:val="single" w:sz="4" w:space="0" w:color="auto"/>
                  </w:tcBorders>
                </w:tcPr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Основные показатели оценки р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зультатов обучения</w:t>
                  </w:r>
                </w:p>
              </w:tc>
              <w:tc>
                <w:tcPr>
                  <w:tcW w:w="2372" w:type="dxa"/>
                </w:tcPr>
                <w:p w:rsidR="00894CA9" w:rsidRPr="00E73D51" w:rsidRDefault="00894CA9" w:rsidP="00894CA9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Вид оценочного м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териала</w:t>
                  </w:r>
                </w:p>
              </w:tc>
            </w:tr>
            <w:tr w:rsidR="003478BB" w:rsidRPr="00E73D51" w:rsidTr="00C476E6">
              <w:trPr>
                <w:trHeight w:val="1080"/>
              </w:trPr>
              <w:tc>
                <w:tcPr>
                  <w:tcW w:w="505" w:type="dxa"/>
                  <w:vMerge w:val="restart"/>
                </w:tcPr>
                <w:p w:rsidR="003478BB" w:rsidRPr="00E73D51" w:rsidRDefault="003478BB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38" w:type="dxa"/>
                  <w:vMerge w:val="restart"/>
                </w:tcPr>
                <w:p w:rsidR="003478BB" w:rsidRPr="00E73D51" w:rsidRDefault="003478BB" w:rsidP="00894CA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-готовностью к ведению медицинской документации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(ОПК-6);</w:t>
                  </w:r>
                </w:p>
              </w:tc>
              <w:tc>
                <w:tcPr>
                  <w:tcW w:w="4000" w:type="dxa"/>
                  <w:tcBorders>
                    <w:bottom w:val="single" w:sz="4" w:space="0" w:color="auto"/>
                  </w:tcBorders>
                </w:tcPr>
                <w:p w:rsidR="00AE1DC0" w:rsidRPr="00177774" w:rsidRDefault="003478BB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E1DC0"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DC0" w:rsidRPr="00177774">
                    <w:rPr>
                      <w:b/>
                      <w:sz w:val="24"/>
                      <w:szCs w:val="24"/>
                    </w:rPr>
                    <w:t>-</w:t>
                  </w:r>
                  <w:r w:rsidR="00AE1DC0" w:rsidRPr="0017777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="00AE1DC0" w:rsidRPr="00177774">
                    <w:rPr>
                      <w:sz w:val="24"/>
                      <w:szCs w:val="24"/>
                    </w:rPr>
                    <w:t>едение типовой учетно-отчетной медицинской документ</w:t>
                  </w:r>
                  <w:r w:rsidR="00AE1DC0" w:rsidRPr="00177774">
                    <w:rPr>
                      <w:sz w:val="24"/>
                      <w:szCs w:val="24"/>
                    </w:rPr>
                    <w:t>а</w:t>
                  </w:r>
                  <w:r w:rsidR="00AE1DC0" w:rsidRPr="00177774">
                    <w:rPr>
                      <w:sz w:val="24"/>
                      <w:szCs w:val="24"/>
                    </w:rPr>
                    <w:t>ции в медицинских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стоматологического профиля;</w:t>
                  </w:r>
                  <w:bookmarkStart w:id="0" w:name="_GoBack"/>
                </w:p>
                <w:bookmarkEnd w:id="0"/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ведение современной медицинской документации, в том числе в эле</w:t>
                  </w:r>
                  <w:r w:rsidRPr="00177774">
                    <w:rPr>
                      <w:sz w:val="24"/>
                      <w:szCs w:val="24"/>
                    </w:rPr>
                    <w:t>к</w:t>
                  </w:r>
                  <w:r w:rsidRPr="00177774">
                    <w:rPr>
                      <w:sz w:val="24"/>
                      <w:szCs w:val="24"/>
                    </w:rPr>
                    <w:t>тронном виде.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Уметь: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документацию различного характера в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гических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sz w:val="24"/>
                      <w:szCs w:val="24"/>
                    </w:rPr>
                    <w:t>амбулаторно-поликлинических учреждениях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документацию в различных стоматологических у</w:t>
                  </w:r>
                  <w:r w:rsidRPr="00177774">
                    <w:rPr>
                      <w:sz w:val="24"/>
                      <w:szCs w:val="24"/>
                    </w:rPr>
                    <w:t>ч</w:t>
                  </w:r>
                  <w:r w:rsidRPr="00177774">
                    <w:rPr>
                      <w:sz w:val="24"/>
                      <w:szCs w:val="24"/>
                    </w:rPr>
                    <w:t>реждениях.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Владеть: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sz w:val="24"/>
                      <w:szCs w:val="24"/>
                    </w:rPr>
                    <w:t>правилами и требованиями к 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полнению медицинской документ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 xml:space="preserve">ции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AE1DC0" w:rsidRDefault="00AE1DC0" w:rsidP="00AE1D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амбулаторном стоматологическом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3478BB" w:rsidRPr="00EC34A0" w:rsidRDefault="003478BB" w:rsidP="003478BB">
                  <w:pPr>
                    <w:spacing w:line="233" w:lineRule="auto"/>
                    <w:ind w:left="98"/>
                    <w:rPr>
                      <w:sz w:val="24"/>
                      <w:szCs w:val="24"/>
                    </w:rPr>
                  </w:pPr>
                </w:p>
                <w:p w:rsidR="003478BB" w:rsidRPr="00E73D51" w:rsidRDefault="003478BB" w:rsidP="00AE1DC0">
                  <w:pPr>
                    <w:spacing w:before="2"/>
                    <w:ind w:left="98" w:right="516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</w:tcPr>
                <w:p w:rsidR="003478BB" w:rsidRPr="00E73D51" w:rsidRDefault="003478BB" w:rsidP="00894CA9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CE5E74" w:rsidRPr="00E73D51" w:rsidTr="00CE5E74">
              <w:trPr>
                <w:gridAfter w:val="2"/>
                <w:wAfter w:w="6372" w:type="dxa"/>
                <w:trHeight w:val="276"/>
              </w:trPr>
              <w:tc>
                <w:tcPr>
                  <w:tcW w:w="505" w:type="dxa"/>
                  <w:vMerge/>
                </w:tcPr>
                <w:p w:rsidR="00CE5E74" w:rsidRPr="00E73D51" w:rsidRDefault="00CE5E74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  <w:vMerge/>
                </w:tcPr>
                <w:p w:rsidR="00CE5E74" w:rsidRPr="00E73D51" w:rsidRDefault="00CE5E74" w:rsidP="00894C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64A2" w:rsidRPr="00E73D51" w:rsidTr="00CE5E74">
              <w:tc>
                <w:tcPr>
                  <w:tcW w:w="505" w:type="dxa"/>
                </w:tcPr>
                <w:p w:rsidR="006A64A2" w:rsidRPr="00E73D51" w:rsidRDefault="006A64A2" w:rsidP="006A64A2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8" w:type="dxa"/>
                </w:tcPr>
                <w:p w:rsidR="006A64A2" w:rsidRPr="00E73D51" w:rsidRDefault="006A64A2" w:rsidP="006A64A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-готовностью к примен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медицинских изделий, предусмотренных порядк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ми оказания медицинской помощи пациентам со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матологическими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ниями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(ОПК-11).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</w:tcBorders>
                </w:tcPr>
                <w:p w:rsidR="00AE1DC0" w:rsidRPr="00177774" w:rsidRDefault="006A64A2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E1DC0"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DC0" w:rsidRPr="00177774">
                    <w:rPr>
                      <w:sz w:val="24"/>
                      <w:szCs w:val="24"/>
                    </w:rPr>
                    <w:t>-п</w:t>
                  </w:r>
                  <w:proofErr w:type="gramEnd"/>
                  <w:r w:rsidR="00AE1DC0" w:rsidRPr="00177774">
                    <w:rPr>
                      <w:sz w:val="24"/>
                      <w:szCs w:val="24"/>
                    </w:rPr>
                    <w:t>орядок и правила оказания медицинской помощи пациентам со стоматологическими заболеваниями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--стоматологический и зубовраче</w:t>
                  </w:r>
                  <w:r w:rsidRPr="00177774">
                    <w:rPr>
                      <w:sz w:val="24"/>
                      <w:szCs w:val="24"/>
                    </w:rPr>
                    <w:t>б</w:t>
                  </w:r>
                  <w:r w:rsidRPr="00177774">
                    <w:rPr>
                      <w:sz w:val="24"/>
                      <w:szCs w:val="24"/>
                    </w:rPr>
                    <w:t>ный инструментарий, используемый для обследования, проведения диа</w:t>
                  </w:r>
                  <w:r w:rsidRPr="00177774">
                    <w:rPr>
                      <w:sz w:val="24"/>
                      <w:szCs w:val="24"/>
                    </w:rPr>
                    <w:t>г</w:t>
                  </w:r>
                  <w:r w:rsidRPr="00177774">
                    <w:rPr>
                      <w:sz w:val="24"/>
                      <w:szCs w:val="24"/>
                    </w:rPr>
                    <w:t>ностических манипуляций и выпо</w:t>
                  </w:r>
                  <w:r w:rsidRPr="00177774">
                    <w:rPr>
                      <w:sz w:val="24"/>
                      <w:szCs w:val="24"/>
                    </w:rPr>
                    <w:t>л</w:t>
                  </w:r>
                  <w:r w:rsidRPr="00177774">
                    <w:rPr>
                      <w:sz w:val="24"/>
                      <w:szCs w:val="24"/>
                    </w:rPr>
                    <w:t>нения анестезий у пациентов с ра</w:t>
                  </w:r>
                  <w:r w:rsidRPr="00177774">
                    <w:rPr>
                      <w:sz w:val="24"/>
                      <w:szCs w:val="24"/>
                    </w:rPr>
                    <w:t>з</w:t>
                  </w:r>
                  <w:r w:rsidRPr="00177774">
                    <w:rPr>
                      <w:sz w:val="24"/>
                      <w:szCs w:val="24"/>
                    </w:rPr>
                    <w:t>личными заболеваниями и повре</w:t>
                  </w:r>
                  <w:r w:rsidRPr="00177774">
                    <w:rPr>
                      <w:sz w:val="24"/>
                      <w:szCs w:val="24"/>
                    </w:rPr>
                    <w:t>ж</w:t>
                  </w:r>
                  <w:r w:rsidRPr="00177774">
                    <w:rPr>
                      <w:sz w:val="24"/>
                      <w:szCs w:val="24"/>
                    </w:rPr>
                    <w:t>дениями органов полости рта и ЧЛО в условиях в практике врача стом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толога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Уметь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-применять медицинские изделия, предусмотренные порядком оказ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ния медицинской  помощи пацие</w:t>
                  </w:r>
                  <w:r w:rsidRPr="00177774">
                    <w:rPr>
                      <w:sz w:val="24"/>
                      <w:szCs w:val="24"/>
                    </w:rPr>
                    <w:t>н</w:t>
                  </w:r>
                  <w:r w:rsidRPr="00177774">
                    <w:rPr>
                      <w:sz w:val="24"/>
                      <w:szCs w:val="24"/>
                    </w:rPr>
                    <w:t>там со стоматологическими забол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ваниями в профессиональной де</w:t>
                  </w:r>
                  <w:r w:rsidRPr="00177774">
                    <w:rPr>
                      <w:sz w:val="24"/>
                      <w:szCs w:val="24"/>
                    </w:rPr>
                    <w:t>я</w:t>
                  </w:r>
                  <w:r w:rsidRPr="00177774">
                    <w:rPr>
                      <w:sz w:val="24"/>
                      <w:szCs w:val="24"/>
                    </w:rPr>
                    <w:t xml:space="preserve">тельности 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sz w:val="24"/>
                      <w:szCs w:val="24"/>
                    </w:rPr>
                    <w:t>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логическии</w:t>
                  </w:r>
                  <w:proofErr w:type="spellEnd"/>
                  <w:r w:rsidRPr="00177774">
                    <w:rPr>
                      <w:sz w:val="24"/>
                      <w:szCs w:val="24"/>
                    </w:rPr>
                    <w:t xml:space="preserve"> зубоврачебный инстр</w:t>
                  </w:r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ментарий, согласно его назначению при обследовании, проведении д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>агностических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lastRenderedPageBreak/>
                    <w:t>виях поликлиники</w:t>
                  </w:r>
                  <w:r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Владеть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-основами и правилами оказания медицинской помощи пациентам со стоматологическими заболеваниями</w:t>
                  </w:r>
                </w:p>
                <w:p w:rsidR="00AE1DC0" w:rsidRPr="00AE1DC0" w:rsidRDefault="00AE1DC0" w:rsidP="00AE1DC0">
                  <w:pPr>
                    <w:spacing w:before="1"/>
                    <w:ind w:left="98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 медицинским, стоматологич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ским  и зубоврачебным инструме</w:t>
                  </w:r>
                  <w:r w:rsidRPr="00177774">
                    <w:rPr>
                      <w:sz w:val="24"/>
                      <w:szCs w:val="24"/>
                    </w:rPr>
                    <w:t>н</w:t>
                  </w:r>
                  <w:r w:rsidRPr="00177774">
                    <w:rPr>
                      <w:sz w:val="24"/>
                      <w:szCs w:val="24"/>
                    </w:rPr>
                    <w:t>тарием, согласно его назначению при обследовании, проведении д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 xml:space="preserve">агностических манипуляций при лечении пациентов с различными заболеваниями и повреждениями органов полости </w:t>
                  </w:r>
                  <w:r>
                    <w:rPr>
                      <w:sz w:val="24"/>
                      <w:szCs w:val="24"/>
                    </w:rPr>
                    <w:t>рта и ЧЛО в усл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виях поликлиники</w:t>
                  </w:r>
                </w:p>
                <w:p w:rsidR="006A64A2" w:rsidRPr="00EC34A0" w:rsidRDefault="006A64A2" w:rsidP="006A64A2">
                  <w:pPr>
                    <w:ind w:left="98"/>
                    <w:rPr>
                      <w:sz w:val="24"/>
                      <w:szCs w:val="24"/>
                    </w:rPr>
                  </w:pPr>
                </w:p>
                <w:p w:rsidR="006A64A2" w:rsidRDefault="006A64A2" w:rsidP="00AE1DC0">
                  <w:pPr>
                    <w:spacing w:before="4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</w:p>
                <w:p w:rsidR="006A64A2" w:rsidRDefault="006A64A2" w:rsidP="006A64A2">
                  <w:pPr>
                    <w:spacing w:before="4"/>
                    <w:ind w:left="98"/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6A64A2" w:rsidRPr="00E73D51" w:rsidRDefault="006A64A2" w:rsidP="006A64A2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lastRenderedPageBreak/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246085" w:rsidRPr="00E73D51" w:rsidTr="00C476E6">
              <w:tc>
                <w:tcPr>
                  <w:tcW w:w="505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138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способностью к определ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у пациентов основных патологических состояний, симптомов, синдромов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матологических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ний, нозологических форм в соответствии с Междун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родной статистической классификацией болезней и проблем, связанных со зд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ровьем (МКБ)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(ПК-6);</w:t>
                  </w:r>
                </w:p>
              </w:tc>
              <w:tc>
                <w:tcPr>
                  <w:tcW w:w="4000" w:type="dxa"/>
                </w:tcPr>
                <w:p w:rsidR="00A74920" w:rsidRPr="009840F8" w:rsidRDefault="00246085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74920" w:rsidRPr="009840F8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сновные вопросы нормальной и патологической физиологии зубоч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люстной системы, ее взаимосвязь с функциональным состоянием др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гих систем организма и уровни их регуляции </w:t>
                  </w:r>
                </w:p>
                <w:p w:rsidR="00246085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клинические проявления осно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в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ных синдромов, требующих тер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певтического лечения.</w:t>
                  </w:r>
                </w:p>
                <w:p w:rsidR="00A74920" w:rsidRPr="009840F8" w:rsidRDefault="00A74920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Уметь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eastAsia="TimesNew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 осмотра п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циентов; 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интерпретировать результаты </w:t>
                  </w:r>
                  <w:proofErr w:type="gramStart"/>
                  <w:r w:rsidRPr="009840F8">
                    <w:rPr>
                      <w:rFonts w:eastAsia="TimesNewRoman"/>
                      <w:sz w:val="24"/>
                      <w:szCs w:val="24"/>
                    </w:rPr>
                    <w:t>первичного</w:t>
                  </w:r>
                  <w:proofErr w:type="gramEnd"/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 и повторного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осмотра пациентов;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обосновывать необходимость и объем лабораторных исследований; 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обосновывать необходимость н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правления пациентов на консул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тацию к врачам-специалистам.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</w:p>
                <w:p w:rsidR="00A74920" w:rsidRPr="009840F8" w:rsidRDefault="00A74920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9840F8">
                    <w:rPr>
                      <w:sz w:val="24"/>
                      <w:szCs w:val="24"/>
                    </w:rPr>
                    <w:t>определения осно</w:t>
                  </w:r>
                  <w:r w:rsidRPr="009840F8">
                    <w:rPr>
                      <w:sz w:val="24"/>
                      <w:szCs w:val="24"/>
                    </w:rPr>
                    <w:t>в</w:t>
                  </w:r>
                  <w:r w:rsidRPr="009840F8">
                    <w:rPr>
                      <w:sz w:val="24"/>
                      <w:szCs w:val="24"/>
                    </w:rPr>
                    <w:t>ных патологических состояний, симптомов, синдромов стоматол</w:t>
                  </w:r>
                  <w:r w:rsidRPr="009840F8">
                    <w:rPr>
                      <w:sz w:val="24"/>
                      <w:szCs w:val="24"/>
                    </w:rPr>
                    <w:t>о</w:t>
                  </w:r>
                  <w:r w:rsidRPr="009840F8">
                    <w:rPr>
                      <w:sz w:val="24"/>
                      <w:szCs w:val="24"/>
                    </w:rPr>
                    <w:t>гических заболеваний в соответс</w:t>
                  </w:r>
                  <w:r w:rsidRPr="009840F8">
                    <w:rPr>
                      <w:sz w:val="24"/>
                      <w:szCs w:val="24"/>
                    </w:rPr>
                    <w:t>т</w:t>
                  </w:r>
                  <w:r w:rsidRPr="009840F8">
                    <w:rPr>
                      <w:sz w:val="24"/>
                      <w:szCs w:val="24"/>
                    </w:rPr>
                    <w:t>вии с МКБ;</w:t>
                  </w:r>
                </w:p>
                <w:p w:rsidR="00A74920" w:rsidRPr="00EC34A0" w:rsidRDefault="00A74920" w:rsidP="00A74920">
                  <w:pPr>
                    <w:spacing w:line="233" w:lineRule="auto"/>
                    <w:ind w:left="98"/>
                    <w:rPr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направлением пациентов на лаб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раторные и инструментальные и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следования</w:t>
                  </w:r>
                </w:p>
                <w:p w:rsidR="00246085" w:rsidRPr="00DA657A" w:rsidRDefault="00246085" w:rsidP="00A60484">
                  <w:pPr>
                    <w:ind w:left="98" w:right="145"/>
                  </w:pPr>
                </w:p>
              </w:tc>
              <w:tc>
                <w:tcPr>
                  <w:tcW w:w="2372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C476E6" w:rsidRPr="00E73D51" w:rsidTr="00C476E6">
              <w:tc>
                <w:tcPr>
                  <w:tcW w:w="505" w:type="dxa"/>
                </w:tcPr>
                <w:p w:rsidR="00C476E6" w:rsidRPr="00E73D51" w:rsidRDefault="00C476E6" w:rsidP="00C476E6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38" w:type="dxa"/>
                </w:tcPr>
                <w:p w:rsidR="00C476E6" w:rsidRPr="00E73D51" w:rsidRDefault="00C476E6" w:rsidP="00C476E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-способностью к определ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тактики ведения бол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ь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ных с различными стомат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lastRenderedPageBreak/>
                    <w:t>логическими заболевани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я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ми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(ПК-8);</w:t>
                  </w:r>
                </w:p>
              </w:tc>
              <w:tc>
                <w:tcPr>
                  <w:tcW w:w="4000" w:type="dxa"/>
                </w:tcPr>
                <w:p w:rsidR="003363A4" w:rsidRPr="009840F8" w:rsidRDefault="003363A4" w:rsidP="003363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lastRenderedPageBreak/>
                    <w:t>Знать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-этиологию патогенез, диагностику, лечение и профилактику наиболее </w:t>
                  </w:r>
                  <w:r w:rsidRPr="00177774">
                    <w:rPr>
                      <w:sz w:val="24"/>
                      <w:szCs w:val="24"/>
                    </w:rPr>
                    <w:lastRenderedPageBreak/>
                    <w:t>часто встречающихся стоматолог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>ческих заболеваний. Клиническую картину и особенности течения и возможные осложнения. Свойства материалов и препаратов, прим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 xml:space="preserve">няемых на стоматологическом приеме </w:t>
                  </w:r>
                </w:p>
                <w:p w:rsidR="003363A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Этиологию патогенез, диагност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 xml:space="preserve">ку, лечение и профилактику редко встречающихся стоматологических заболеваний. </w:t>
                  </w:r>
                </w:p>
                <w:p w:rsidR="003363A4" w:rsidRPr="009840F8" w:rsidRDefault="003363A4" w:rsidP="003363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 xml:space="preserve">ния к выбранному методу лечения 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разработать план лечения с учетом современных технологий в 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логии.</w:t>
                  </w:r>
                </w:p>
                <w:p w:rsidR="00510725" w:rsidRPr="009840F8" w:rsidRDefault="00510725" w:rsidP="0051072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3363A4" w:rsidRPr="00177774" w:rsidRDefault="00510725" w:rsidP="00510725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-основами врачебных диагностич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ских и лечебных мероприятий. М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нуальными навыками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177774">
                    <w:rPr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sz w:val="24"/>
                      <w:szCs w:val="24"/>
                    </w:rPr>
                    <w:t>заболеваний твердых тканей зубов.</w:t>
                  </w:r>
                </w:p>
                <w:p w:rsidR="00C476E6" w:rsidRPr="00154E0A" w:rsidRDefault="00C476E6" w:rsidP="00AE1DC0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</w:p>
              </w:tc>
              <w:tc>
                <w:tcPr>
                  <w:tcW w:w="2372" w:type="dxa"/>
                </w:tcPr>
                <w:p w:rsidR="00C476E6" w:rsidRPr="00E73D51" w:rsidRDefault="00C476E6" w:rsidP="00C476E6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lastRenderedPageBreak/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lastRenderedPageBreak/>
                    <w:t>ции</w:t>
                  </w:r>
                </w:p>
              </w:tc>
            </w:tr>
            <w:tr w:rsidR="00457EDA" w:rsidRPr="00E73D51" w:rsidTr="00C476E6">
              <w:trPr>
                <w:trHeight w:val="1938"/>
              </w:trPr>
              <w:tc>
                <w:tcPr>
                  <w:tcW w:w="505" w:type="dxa"/>
                </w:tcPr>
                <w:p w:rsidR="00457EDA" w:rsidRPr="00E73D51" w:rsidRDefault="00457EDA" w:rsidP="00457EDA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138" w:type="dxa"/>
                </w:tcPr>
                <w:p w:rsidR="00457EDA" w:rsidRPr="00E73D51" w:rsidRDefault="00457EDA" w:rsidP="00457ED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-готовностью к ведению и лечению пациентов со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матологическими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ниями в амбулаторных у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с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ловиях и условиях дневного стационара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(ПК-9);</w:t>
                  </w:r>
                </w:p>
              </w:tc>
              <w:tc>
                <w:tcPr>
                  <w:tcW w:w="4000" w:type="dxa"/>
                </w:tcPr>
                <w:p w:rsidR="00386B77" w:rsidRPr="009840F8" w:rsidRDefault="00457EDA" w:rsidP="00386B7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EC34A0">
                    <w:rPr>
                      <w:b/>
                      <w:i/>
                      <w:sz w:val="24"/>
                      <w:szCs w:val="24"/>
                    </w:rPr>
                    <w:t>Знать</w:t>
                  </w:r>
                  <w:proofErr w:type="gramStart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>нать</w:t>
                  </w:r>
                  <w:proofErr w:type="spell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sz w:val="24"/>
                      <w:szCs w:val="24"/>
                    </w:rPr>
                    <w:t>Организацию оказания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 xml:space="preserve">гической помощи в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амб</w:t>
                  </w:r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латорных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стоматологического профиля.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Организацию оказания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гической помощи в стоматологич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ских учреждениях</w:t>
                  </w:r>
                </w:p>
                <w:p w:rsidR="00457EDA" w:rsidRDefault="00386B77" w:rsidP="00386B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различного профиля.</w:t>
                  </w:r>
                </w:p>
                <w:p w:rsidR="00386B77" w:rsidRPr="009840F8" w:rsidRDefault="00386B77" w:rsidP="00386B7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sz w:val="24"/>
                      <w:szCs w:val="24"/>
                    </w:rPr>
                    <w:t xml:space="preserve">Вести медицинскую документацию различного характера в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гических</w:t>
                  </w:r>
                  <w:proofErr w:type="gram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ч</w:t>
                  </w:r>
                  <w:r w:rsidRPr="00177774">
                    <w:rPr>
                      <w:sz w:val="24"/>
                      <w:szCs w:val="24"/>
                    </w:rPr>
                    <w:t>реждениях</w:t>
                  </w:r>
                  <w:proofErr w:type="gram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цию в электронном виде.</w:t>
                  </w:r>
                </w:p>
                <w:p w:rsidR="00386B77" w:rsidRPr="009840F8" w:rsidRDefault="00386B77" w:rsidP="00386B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Методами диспансеризации в ст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матологии у взрослых</w:t>
                  </w:r>
                </w:p>
                <w:p w:rsidR="00457EDA" w:rsidRPr="00154E0A" w:rsidRDefault="00386B77" w:rsidP="00386B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</w:rPr>
                  </w:pPr>
                  <w:r w:rsidRPr="00177774">
                    <w:rPr>
                      <w:sz w:val="24"/>
                      <w:szCs w:val="24"/>
                    </w:rPr>
                    <w:t>-Методами профилактики 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 xml:space="preserve">логических заболеваний на </w:t>
                  </w:r>
                  <w:r>
                    <w:rPr>
                      <w:sz w:val="24"/>
                      <w:szCs w:val="24"/>
                    </w:rPr>
                    <w:t>терапе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тическом </w:t>
                  </w:r>
                  <w:r w:rsidRPr="00177774">
                    <w:rPr>
                      <w:sz w:val="24"/>
                      <w:szCs w:val="24"/>
                    </w:rPr>
                    <w:t>приеме.</w:t>
                  </w:r>
                  <w:r w:rsidR="00457EDA" w:rsidRPr="00EC34A0"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="00AE1DC0" w:rsidRPr="00154E0A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372" w:type="dxa"/>
                </w:tcPr>
                <w:p w:rsidR="00457EDA" w:rsidRPr="00E73D51" w:rsidRDefault="00457EDA" w:rsidP="00457EDA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6635DF" w:rsidRDefault="006635DF" w:rsidP="007A525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DF" w:rsidRDefault="006635DF" w:rsidP="007A525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076DE9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и информационное обеспечение дисциплины</w:t>
            </w: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7.1 Основная литература:</w:t>
            </w: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Г.М.Барера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ерапевтическаястоматология.В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 3-х частях.часть3.ГЭОТАР-Медия.2015-256с-Режим доступа </w:t>
            </w:r>
            <w:hyperlink r:id="rId8" w:history="1"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studmedlib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ISBN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9785970434604.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2.Луцкая И.К.Терапевтическаястоматология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чебноепособие.Высшаяшкола.гриф:МО Республики Беларусь.2014-608с.-978-985-06-2373-7- :Режим доступа 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/35554.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4. М.Я.Алимова,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Л.С.Персин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Стоматология. Международная классификация болезней. Клиническая Характеристика нозологических форм. ГЭОТАР-Медия.2016-204с-Режим доступа </w:t>
            </w:r>
            <w:hyperlink r:id="rId9" w:history="1"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studmedlib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ISBN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9785970436691.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5.Дерматовенерология : учебник для студентов высших учебных заведений / В. В. Чеботарёв, О. Б.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Тамразова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Н. В. Чеботарёва, А. В. Одинец. 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2013. - 584 с. : ил. Электронный ресурс - 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076DE9" w:rsidRDefault="005E0AEC" w:rsidP="00FE6062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6.Запись и ведение истории болезни [Электронный ресурс]</w:t>
            </w:r>
            <w:proofErr w:type="gram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http://www.studmedlib.ru/book/ISBN9785970437902.html</w:t>
            </w:r>
          </w:p>
          <w:p w:rsidR="005E0AEC" w:rsidRPr="00076DE9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DE9" w:rsidRPr="009840F8" w:rsidRDefault="00076DE9" w:rsidP="00076DE9">
            <w:pPr>
              <w:tabs>
                <w:tab w:val="center" w:pos="527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>
              <w:t xml:space="preserve"> </w:t>
            </w:r>
            <w:hyperlink r:id="rId10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yum-terapevticheskaya-stomatologiya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Л.Ю.Орехова. Терапевтическая стоматология. Изд. М.«Медицина», 2002.638 с. Учебник для студентов стоматологических факультетов.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11" w:tgtFrame="_blank" w:history="1">
              <w:proofErr w:type="spellStart"/>
              <w:r>
                <w:rPr>
                  <w:rStyle w:val="a3"/>
                </w:rPr>
                <w:t>maksimovskiy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maksimovskaya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orehova-lyu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Style w:val="a3"/>
                <w:lang w:val="en-US"/>
              </w:rPr>
              <w:t xml:space="preserve"> </w:t>
            </w:r>
            <w:r w:rsidRPr="003B7EF0">
              <w:rPr>
                <w:rStyle w:val="pathseparator"/>
                <w:lang w:val="en-US"/>
              </w:rPr>
              <w:t>›</w:t>
            </w:r>
            <w:hyperlink r:id="rId12" w:tgtFrame="_blank" w:history="1">
              <w:r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Pr="003B7EF0">
                <w:rPr>
                  <w:rStyle w:val="a3"/>
                  <w:lang w:val="en-US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выпускн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ков медицинских вузов Российской Федерации. Стоматология. Учебно-методическое пособие. – М., 2008, 221с.</w:t>
            </w:r>
            <w:r>
              <w:t xml:space="preserve"> </w:t>
            </w:r>
            <w:hyperlink r:id="rId13" w:tgtFrame="_blank" w:history="1">
              <w:proofErr w:type="spellStart"/>
              <w:r>
                <w:rPr>
                  <w:rStyle w:val="a3"/>
                </w:rPr>
                <w:t>klinicheskie-situacii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illyustraciyami</w:t>
              </w:r>
              <w:proofErr w:type="spellEnd"/>
              <w:r>
                <w:rPr>
                  <w:rStyle w:val="a3"/>
                </w:rPr>
                <w:t>…</w:t>
              </w:r>
            </w:hyperlink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>
                <w:rPr>
                  <w:rStyle w:val="a3"/>
                </w:rPr>
                <w:t>barer-gm-racionalnaya-farmakoterapiya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2001. с. 84-87.</w:t>
            </w:r>
            <w:r>
              <w:t xml:space="preserve"> </w:t>
            </w:r>
            <w:hyperlink r:id="rId15" w:tgtFrame="_blank" w:history="1">
              <w:proofErr w:type="spellStart"/>
              <w:r>
                <w:rPr>
                  <w:rStyle w:val="a3"/>
                </w:rPr>
                <w:t>pressa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literatura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newtehnology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Клиническое руководство для врачей. М.,2000г.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16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organizma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Maksimovskiy_YuM</w:t>
              </w:r>
              <w:proofErr w:type="spellEnd"/>
              <w:r>
                <w:rPr>
                  <w:rStyle w:val="a3"/>
                </w:rPr>
                <w:t>…VM-2000…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Клиническое руководство для врачей. М.; ЗАО «Бизнес Центр «Стоматология» 2000.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17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zerkalo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banchenko-g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maksimovskiy-yu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8" w:tgtFrame="_blank" w:history="1">
              <w:proofErr w:type="spellStart"/>
              <w:r>
                <w:rPr>
                  <w:rStyle w:val="a3"/>
                </w:rPr>
                <w:t>koen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berns</w:t>
              </w:r>
              <w:proofErr w:type="spellEnd"/>
              <w:r>
                <w:rPr>
                  <w:rStyle w:val="a3"/>
                </w:rPr>
                <w:t>…endodontiya_b48d935fca2.html</w:t>
              </w:r>
            </w:hyperlink>
          </w:p>
          <w:p w:rsidR="00076DE9" w:rsidRPr="00C03F9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терапевтическая стоматология/А.И.Николаев, Л.М.Цепов. – С. – П.: 2001. – 389 с. </w:t>
            </w:r>
            <w:hyperlink r:id="rId19" w:tgtFrame="_blank" w:history="1">
              <w:proofErr w:type="spellStart"/>
              <w:r>
                <w:rPr>
                  <w:rStyle w:val="a3"/>
                </w:rPr>
                <w:t>view</w:t>
              </w:r>
              <w:proofErr w:type="spellEnd"/>
              <w:r>
                <w:rPr>
                  <w:rStyle w:val="a3"/>
                </w:rPr>
                <w:t>/42740</w:t>
              </w:r>
            </w:hyperlink>
          </w:p>
          <w:p w:rsidR="00076DE9" w:rsidRPr="00D20F76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Машкиллейсон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076DE9" w:rsidRPr="00D20F76" w:rsidRDefault="001C0076" w:rsidP="00076DE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076DE9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076DE9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076DE9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076DE9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076DE9" w:rsidRPr="00D20F76">
                <w:rPr>
                  <w:rStyle w:val="a3"/>
                  <w:lang w:val="en-US"/>
                </w:rPr>
                <w:t>…</w:t>
              </w:r>
            </w:hyperlink>
          </w:p>
          <w:p w:rsidR="005E0AEC" w:rsidRPr="00076DE9" w:rsidRDefault="005E0AEC" w:rsidP="00D20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0AEC" w:rsidRPr="00076DE9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7.3 Периодические издания</w:t>
            </w:r>
          </w:p>
          <w:p w:rsidR="005E0AEC" w:rsidRPr="00076DE9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5E0AEC" w:rsidRPr="00076DE9" w:rsidRDefault="005E0AEC" w:rsidP="00FE6062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5E0AEC" w:rsidRPr="00076DE9" w:rsidRDefault="005E0AEC" w:rsidP="00FE6062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BA" w:rsidRPr="00E73D51" w:rsidRDefault="00D205BA" w:rsidP="00FE6062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</w:p>
          <w:p w:rsidR="005E0AEC" w:rsidRPr="00E73D51" w:rsidRDefault="005E0AEC" w:rsidP="00FE6062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7.4.</w:t>
            </w:r>
            <w:r w:rsidRPr="00E73D51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Интернет ресурсы</w:t>
            </w:r>
          </w:p>
          <w:p w:rsidR="00076DE9" w:rsidRPr="00E73D51" w:rsidRDefault="00076DE9" w:rsidP="00076DE9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076DE9" w:rsidRPr="00E73D51" w:rsidRDefault="00076DE9" w:rsidP="00076DE9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E9" w:rsidRDefault="00076DE9" w:rsidP="00076DE9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6DE9" w:rsidRPr="00966E21" w:rsidRDefault="00076DE9" w:rsidP="00076DE9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E9" w:rsidRPr="0062279D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076DE9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076DE9" w:rsidRPr="0062279D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8"/>
              <w:gridCol w:w="1815"/>
              <w:gridCol w:w="4929"/>
              <w:gridCol w:w="1700"/>
              <w:gridCol w:w="1571"/>
            </w:tblGrid>
            <w:tr w:rsidR="00076DE9" w:rsidRPr="00452859" w:rsidTr="003911B4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рактеристика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ресурса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 xml:space="preserve">Наименование организации-владельца; реквизиты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</w:t>
                  </w:r>
                  <w:r w:rsidRPr="00452859">
                    <w:rPr>
                      <w:b/>
                    </w:rPr>
                    <w:t>с</w:t>
                  </w:r>
                  <w:r w:rsidRPr="00452859">
                    <w:rPr>
                      <w:b/>
                    </w:rPr>
                    <w:t>тупа</w:t>
                  </w:r>
                </w:p>
              </w:tc>
            </w:tr>
            <w:tr w:rsidR="00076DE9" w:rsidRPr="00452859" w:rsidTr="003911B4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076DE9" w:rsidRPr="00452859" w:rsidTr="003911B4">
              <w:trPr>
                <w:trHeight w:val="1184"/>
              </w:trPr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ЭБД РГБ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диссе</w:t>
                  </w:r>
                  <w:r w:rsidRPr="00452859">
                    <w:t>р</w:t>
                  </w:r>
                  <w:r w:rsidRPr="00452859">
                    <w:t>таций и автор</w:t>
                  </w:r>
                  <w:r w:rsidRPr="00452859">
                    <w:t>е</w:t>
                  </w:r>
                  <w:r w:rsidRPr="00452859">
                    <w:t>фератов из фо</w:t>
                  </w:r>
                  <w:r w:rsidRPr="00452859">
                    <w:t>н</w:t>
                  </w:r>
                  <w:r w:rsidRPr="00452859">
                    <w:t>да Российской государственной библиотеки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2" w:history="1">
                    <w:r w:rsidR="00076DE9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76DE9" w:rsidRPr="00452859">
                      <w:rPr>
                        <w:u w:val="single"/>
                      </w:rPr>
                      <w:t>://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ФГБУ «Росси</w:t>
                  </w:r>
                  <w:r w:rsidRPr="00452859">
                    <w:t>й</w:t>
                  </w:r>
                  <w:r w:rsidRPr="00452859">
                    <w:t>ская государс</w:t>
                  </w:r>
                  <w:r w:rsidRPr="00452859">
                    <w:t>т</w:t>
                  </w:r>
                  <w:r w:rsidRPr="00452859">
                    <w:t>венная би</w:t>
                  </w:r>
                  <w:r w:rsidRPr="00452859">
                    <w:t>б</w:t>
                  </w:r>
                  <w:r w:rsidRPr="00452859">
                    <w:t>лиотека» (РГБ)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политематич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>ская реферати</w:t>
                  </w:r>
                  <w:r w:rsidRPr="00452859">
                    <w:rPr>
                      <w:shd w:val="clear" w:color="auto" w:fill="FFFFFF"/>
                    </w:rPr>
                    <w:t>в</w:t>
                  </w:r>
                  <w:r w:rsidRPr="00452859">
                    <w:rPr>
                      <w:shd w:val="clear" w:color="auto" w:fill="FFFFFF"/>
                    </w:rPr>
                    <w:lastRenderedPageBreak/>
                    <w:t>но-библиографич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</w:t>
                  </w:r>
                  <w:r w:rsidRPr="00452859">
                    <w:rPr>
                      <w:shd w:val="clear" w:color="auto" w:fill="FFFFFF"/>
                    </w:rPr>
                    <w:t>о</w:t>
                  </w:r>
                  <w:r w:rsidRPr="00452859">
                    <w:rPr>
                      <w:shd w:val="clear" w:color="auto" w:fill="FFFFFF"/>
                    </w:rPr>
                    <w:t>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3" w:tgtFrame="_blank" w:history="1">
                    <w:r w:rsidR="00076DE9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076DE9" w:rsidRPr="00452859" w:rsidRDefault="001C0076" w:rsidP="003911B4">
                  <w:pPr>
                    <w:jc w:val="center"/>
                  </w:pPr>
                  <w:hyperlink r:id="rId24" w:tgtFrame="_blank" w:history="1">
                    <w:proofErr w:type="spellStart"/>
                    <w:r w:rsidR="00076DE9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Сублицензио</w:t>
                  </w:r>
                  <w:r w:rsidRPr="00452859">
                    <w:t>н</w:t>
                  </w:r>
                  <w:r w:rsidRPr="00452859">
                    <w:lastRenderedPageBreak/>
                    <w:t>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от 01.11.2018г.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сроком дейс</w:t>
                  </w:r>
                  <w:r w:rsidRPr="00452859">
                    <w:t>т</w:t>
                  </w:r>
                  <w:r w:rsidRPr="00452859">
                    <w:t>вия на 1 год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Сублицензио</w:t>
                  </w:r>
                  <w:r w:rsidRPr="00452859">
                    <w:t>н</w:t>
                  </w:r>
                  <w:r w:rsidRPr="00452859">
                    <w:t>ный</w:t>
                  </w:r>
                  <w:proofErr w:type="spellEnd"/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lastRenderedPageBreak/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издательства «Эльзевир. На</w:t>
                  </w:r>
                  <w:r w:rsidRPr="00452859">
                    <w:t>у</w:t>
                  </w:r>
                  <w:r w:rsidRPr="00452859">
                    <w:t>ка и технол</w:t>
                  </w:r>
                  <w:r w:rsidRPr="00452859">
                    <w:t>о</w:t>
                  </w:r>
                  <w:r w:rsidRPr="00452859">
                    <w:t>гии» Реферати</w:t>
                  </w:r>
                  <w:r w:rsidRPr="00452859">
                    <w:t>в</w:t>
                  </w:r>
                  <w:r w:rsidRPr="00452859">
                    <w:t>ная и аналит</w:t>
                  </w:r>
                  <w:r w:rsidRPr="00452859">
                    <w:t>и</w:t>
                  </w:r>
                  <w:r w:rsidRPr="00452859">
                    <w:t>ческая база данных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5" w:history="1">
                    <w:r w:rsidR="00076DE9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76DE9" w:rsidRPr="00452859">
                      <w:rPr>
                        <w:u w:val="single"/>
                      </w:rPr>
                      <w:t>://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Научная эле</w:t>
                  </w:r>
                  <w:r w:rsidRPr="00452859">
                    <w:rPr>
                      <w:bCs/>
                    </w:rPr>
                    <w:t>к</w:t>
                  </w:r>
                  <w:r w:rsidRPr="00452859">
                    <w:rPr>
                      <w:bCs/>
                    </w:rPr>
                    <w:t>тронная библи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 xml:space="preserve">тека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библиотека н</w:t>
                  </w:r>
                  <w:r w:rsidRPr="00452859">
                    <w:t>а</w:t>
                  </w:r>
                  <w:r w:rsidRPr="00452859">
                    <w:t>учных публик</w:t>
                  </w:r>
                  <w:r w:rsidRPr="00452859">
                    <w:t>а</w:t>
                  </w:r>
                  <w:r w:rsidRPr="00452859">
                    <w:t>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6" w:history="1">
                    <w:r w:rsidR="00076DE9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На безво</w:t>
                  </w:r>
                  <w:r w:rsidRPr="00452859">
                    <w:t>з</w:t>
                  </w:r>
                  <w:r w:rsidRPr="00452859">
                    <w:t>мездной осн</w:t>
                  </w:r>
                  <w:r w:rsidRPr="00452859">
                    <w:t>о</w:t>
                  </w:r>
                  <w:r w:rsidRPr="00452859">
                    <w:t>ве, как вузу-члену консо</w:t>
                  </w:r>
                  <w:r w:rsidRPr="00452859">
                    <w:t>р</w:t>
                  </w:r>
                  <w:r w:rsidRPr="00452859">
                    <w:t>циума НЭИКОН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>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информацио</w:t>
                  </w:r>
                  <w:r w:rsidRPr="00452859">
                    <w:t>н</w:t>
                  </w:r>
                  <w:r w:rsidRPr="00452859">
                    <w:t>но-аналитическая система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7" w:history="1">
                    <w:r w:rsidR="00076DE9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ООО «НЭБ»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доступ.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Позволяет дополнять и уточнять св</w:t>
                  </w:r>
                  <w:r w:rsidRPr="00452859">
                    <w:t>е</w:t>
                  </w:r>
                  <w:r w:rsidRPr="00452859">
                    <w:t>дения о пу</w:t>
                  </w:r>
                  <w:r w:rsidRPr="00452859">
                    <w:t>б</w:t>
                  </w:r>
                  <w:r w:rsidRPr="00452859">
                    <w:t xml:space="preserve">ликациях ученых КБГУ, имеющихся в РИНЦ 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107831 публ</w:t>
                  </w:r>
                  <w:r w:rsidRPr="00452859">
                    <w:t>и</w:t>
                  </w:r>
                  <w:r w:rsidRPr="00452859">
                    <w:t>каций, в т.ч.: 19071 – учебных изданий, 6746 – научных изд</w:t>
                  </w:r>
                  <w:r w:rsidRPr="00452859">
                    <w:t>а</w:t>
                  </w:r>
                  <w:r w:rsidRPr="00452859">
                    <w:t>ний, 700 ко</w:t>
                  </w:r>
                  <w:r w:rsidRPr="00452859">
                    <w:t>л</w:t>
                  </w:r>
                  <w:r w:rsidRPr="00452859">
                    <w:t xml:space="preserve">лекций, 343 журнала ВАК, 2085 </w:t>
                  </w:r>
                  <w:proofErr w:type="spellStart"/>
                  <w:r w:rsidRPr="00452859">
                    <w:t>аудиои</w:t>
                  </w:r>
                  <w:r w:rsidRPr="00452859">
                    <w:t>з</w:t>
                  </w:r>
                  <w:r w:rsidRPr="00452859">
                    <w:t>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</w:pPr>
                  <w:hyperlink r:id="rId28" w:history="1">
                    <w:r w:rsidR="00076DE9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 xml:space="preserve">туп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 xml:space="preserve">. Новости. Обзор СМИ. Россия и зарубежье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bCs/>
                    </w:rPr>
                    <w:t>Обзор СМИ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>сии и заруб</w:t>
                  </w:r>
                  <w:r w:rsidRPr="00452859">
                    <w:rPr>
                      <w:bCs/>
                    </w:rPr>
                    <w:t>е</w:t>
                  </w:r>
                  <w:r w:rsidRPr="00452859">
                    <w:rPr>
                      <w:bCs/>
                    </w:rPr>
                    <w:t>жья. Полные тексты + анал</w:t>
                  </w:r>
                  <w:r w:rsidRPr="00452859">
                    <w:rPr>
                      <w:bCs/>
                    </w:rPr>
                    <w:t>и</w:t>
                  </w:r>
                  <w:r w:rsidRPr="00452859">
                    <w:rPr>
                      <w:bCs/>
                    </w:rPr>
                    <w:t>тика из 600 и</w:t>
                  </w:r>
                  <w:r w:rsidRPr="00452859">
                    <w:rPr>
                      <w:bCs/>
                    </w:rPr>
                    <w:t>з</w:t>
                  </w:r>
                  <w:r w:rsidRPr="00452859">
                    <w:rPr>
                      <w:bCs/>
                    </w:rPr>
                    <w:t>даний по 53 о</w:t>
                  </w:r>
                  <w:r w:rsidRPr="00452859">
                    <w:rPr>
                      <w:bCs/>
                    </w:rPr>
                    <w:t>т</w:t>
                  </w:r>
                  <w:r w:rsidRPr="00452859">
                    <w:rPr>
                      <w:bCs/>
                    </w:rPr>
                    <w:t>раслям</w:t>
                  </w:r>
                </w:p>
              </w:tc>
              <w:tc>
                <w:tcPr>
                  <w:tcW w:w="2268" w:type="dxa"/>
                </w:tcPr>
                <w:p w:rsidR="00076DE9" w:rsidRPr="00452859" w:rsidRDefault="001C0076" w:rsidP="003911B4">
                  <w:pPr>
                    <w:jc w:val="center"/>
                    <w:rPr>
                      <w:bCs/>
                      <w:u w:val="single"/>
                    </w:rPr>
                  </w:pPr>
                  <w:hyperlink r:id="rId29" w:history="1">
                    <w:r w:rsidR="00076DE9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076DE9" w:rsidRPr="00452859" w:rsidRDefault="00076DE9" w:rsidP="003911B4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справочники» на безво</w:t>
                  </w:r>
                  <w:r w:rsidRPr="00452859">
                    <w:rPr>
                      <w:bCs/>
                      <w:iCs/>
                      <w:spacing w:val="3"/>
                    </w:rPr>
                    <w:t>з</w:t>
                  </w:r>
                  <w:r w:rsidRPr="00452859">
                    <w:rPr>
                      <w:bCs/>
                      <w:iCs/>
                      <w:spacing w:val="3"/>
                    </w:rPr>
                    <w:t>мездной осн</w:t>
                  </w:r>
                  <w:r w:rsidRPr="00452859">
                    <w:rPr>
                      <w:bCs/>
                      <w:iCs/>
                      <w:spacing w:val="3"/>
                    </w:rPr>
                    <w:t>о</w:t>
                  </w:r>
                  <w:r w:rsidRPr="00452859">
                    <w:rPr>
                      <w:bCs/>
                      <w:iCs/>
                      <w:spacing w:val="3"/>
                    </w:rPr>
                    <w:t>ве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Международная система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библиографич</w:t>
                  </w:r>
                  <w:r w:rsidRPr="00452859">
                    <w:rPr>
                      <w:bCs/>
                    </w:rPr>
                    <w:t>е</w:t>
                  </w:r>
                  <w:r w:rsidRPr="00452859">
                    <w:rPr>
                      <w:bCs/>
                    </w:rPr>
                    <w:t xml:space="preserve">ских ссылок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вая идентиф</w:t>
                  </w:r>
                  <w:r w:rsidRPr="00452859">
                    <w:rPr>
                      <w:bCs/>
                    </w:rPr>
                    <w:t>и</w:t>
                  </w:r>
                  <w:r w:rsidRPr="00452859">
                    <w:rPr>
                      <w:bCs/>
                    </w:rPr>
                    <w:t>кация объектов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ЭБС КБГУ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(электронный каталог фонда + полнотекстовая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1C0076" w:rsidP="003911B4">
                  <w:pPr>
                    <w:jc w:val="center"/>
                  </w:pPr>
                  <w:hyperlink r:id="rId30" w:history="1">
                    <w:r w:rsidR="00076DE9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КБГУ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электронной</w:t>
                  </w:r>
                  <w:proofErr w:type="gramEnd"/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>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</w:t>
                  </w:r>
                  <w:r w:rsidRPr="007375AA">
                    <w:rPr>
                      <w:rFonts w:eastAsia="Calibri"/>
                      <w:b/>
                    </w:rPr>
                    <w:t>ь</w:t>
                  </w:r>
                  <w:r w:rsidRPr="007375AA">
                    <w:rPr>
                      <w:rFonts w:eastAsia="Calibri"/>
                      <w:b/>
                    </w:rPr>
                    <w:t>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gramStart"/>
                  <w:r w:rsidRPr="007375AA">
                    <w:t>Учебники, уче</w:t>
                  </w:r>
                  <w:r w:rsidRPr="007375AA">
                    <w:t>б</w:t>
                  </w:r>
                  <w:r w:rsidRPr="007375AA">
                    <w:t xml:space="preserve">ные пособия, по всем областям </w:t>
                  </w:r>
                  <w:r w:rsidRPr="007375AA">
                    <w:lastRenderedPageBreak/>
                    <w:t>знаний для ВО и СПО, а также монографии и научная пери</w:t>
                  </w:r>
                  <w:r w:rsidRPr="007375AA">
                    <w:t>о</w:t>
                  </w:r>
                  <w:r w:rsidRPr="007375AA">
                    <w:t>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lastRenderedPageBreak/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1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1C0076" w:rsidRPr="001C0076">
                    <w:fldChar w:fldCharType="begin"/>
                  </w:r>
                  <w:r>
                    <w:instrText xml:space="preserve"> HYPERLINK "http://www.medcollegelib.ru" </w:instrText>
                  </w:r>
                  <w:r w:rsidR="001C0076" w:rsidRPr="001C0076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1C0076">
                    <w:rPr>
                      <w:rFonts w:eastAsia="Calibri"/>
                      <w:color w:val="0000FF"/>
                      <w:u w:val="single"/>
                    </w:rPr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(регистрация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076DE9" w:rsidRDefault="00076DE9" w:rsidP="003911B4">
                  <w:pPr>
                    <w:jc w:val="center"/>
                    <w:rPr>
                      <w:rFonts w:eastAsia="Calibri"/>
                    </w:rPr>
                  </w:pPr>
                </w:p>
                <w:p w:rsidR="00076DE9" w:rsidRDefault="00076DE9" w:rsidP="003911B4">
                  <w:pPr>
                    <w:jc w:val="center"/>
                    <w:rPr>
                      <w:rFonts w:eastAsia="Calibri"/>
                    </w:rPr>
                  </w:pPr>
                </w:p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</w:t>
                  </w:r>
                  <w:r w:rsidRPr="007375AA">
                    <w:rPr>
                      <w:rFonts w:eastAsia="Calibri"/>
                    </w:rPr>
                    <w:t>и</w:t>
                  </w:r>
                  <w:r w:rsidRPr="007375AA">
                    <w:rPr>
                      <w:rFonts w:eastAsia="Calibri"/>
                    </w:rPr>
                    <w:t>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076DE9" w:rsidRPr="00606BB7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lastRenderedPageBreak/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076DE9" w:rsidRPr="00452859" w:rsidRDefault="00076DE9" w:rsidP="003911B4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</w:p>
              </w:tc>
            </w:tr>
          </w:tbl>
          <w:p w:rsidR="005E0AEC" w:rsidRPr="00E73D51" w:rsidRDefault="005E0AEC" w:rsidP="00FE60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DE9" w:rsidRPr="00760FB3" w:rsidRDefault="005E0AEC" w:rsidP="00FE606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076DE9" w:rsidRPr="009840F8" w:rsidRDefault="00076DE9" w:rsidP="00076D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трольные вопросы, при необходимости обратиться к рекомендуемой литературе, записать непоня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ные моменты в вопросах для уяснения их на предстоящем занятии.</w:t>
            </w:r>
          </w:p>
          <w:p w:rsidR="005E0AEC" w:rsidRPr="00E73D51" w:rsidRDefault="005E0AEC" w:rsidP="00FE606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5C529B" w:rsidRDefault="005E0AEC" w:rsidP="00FE6062">
            <w:pPr>
              <w:pStyle w:val="a4"/>
              <w:spacing w:line="240" w:lineRule="auto"/>
              <w:ind w:firstLine="720"/>
              <w:jc w:val="both"/>
              <w:rPr>
                <w:b/>
              </w:rPr>
            </w:pPr>
            <w:r w:rsidRPr="00E73D51">
              <w:rPr>
                <w:b/>
              </w:rPr>
              <w:t>8. Материально-техническое обеспечение дисциплины</w:t>
            </w:r>
          </w:p>
          <w:p w:rsidR="00076DE9" w:rsidRPr="005C529B" w:rsidRDefault="00076DE9" w:rsidP="00FE6062">
            <w:pPr>
              <w:pStyle w:val="a4"/>
              <w:spacing w:line="240" w:lineRule="auto"/>
              <w:ind w:firstLine="720"/>
              <w:jc w:val="both"/>
            </w:pPr>
          </w:p>
          <w:p w:rsidR="00076DE9" w:rsidRPr="00E73D51" w:rsidRDefault="005E0AEC" w:rsidP="00076DE9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3D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Многофу</w:t>
            </w:r>
            <w:proofErr w:type="spellEnd"/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необходимый для реализации ОПОП</w:t>
            </w:r>
            <w:r w:rsidR="0007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D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видеопр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ванные учебной мебелью), компьютерные классы и др. </w:t>
            </w:r>
          </w:p>
          <w:p w:rsidR="00076DE9" w:rsidRDefault="00076DE9" w:rsidP="00076DE9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076DE9" w:rsidRPr="00E73D51" w:rsidRDefault="00076DE9" w:rsidP="00076DE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E9" w:rsidRPr="009840F8" w:rsidRDefault="00076DE9" w:rsidP="00076DE9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076DE9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E9" w:rsidRPr="009840F8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мере реализовать требования ФГОС ВО: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звуковоспроизвед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экраном и имеющие выход в сеть Интернет)</w:t>
            </w:r>
          </w:p>
          <w:p w:rsidR="00076DE9" w:rsidRPr="009840F8" w:rsidRDefault="00076DE9" w:rsidP="00076DE9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навыков, на 6 рабочих мест;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отдельные помещения для хранения расходного стоматологического материала; </w:t>
            </w:r>
          </w:p>
          <w:p w:rsidR="005C1742" w:rsidRPr="005C1742" w:rsidRDefault="00076DE9" w:rsidP="005C1742">
            <w:pPr>
              <w:pStyle w:val="a4"/>
              <w:spacing w:line="276" w:lineRule="auto"/>
              <w:jc w:val="both"/>
            </w:pPr>
            <w:r w:rsidRPr="009840F8">
              <w:t>- Помещения для самостоятельной работы обучающихся оснащены компьютерной техникой с во</w:t>
            </w:r>
            <w:r w:rsidRPr="009840F8">
              <w:t>з</w:t>
            </w:r>
            <w:r w:rsidRPr="009840F8">
              <w:t xml:space="preserve">можностью подключения к сети «Интернет» и обеспечением доступа   в   </w:t>
            </w:r>
            <w:proofErr w:type="gramStart"/>
            <w:r w:rsidRPr="009840F8">
              <w:t>электронную</w:t>
            </w:r>
            <w:proofErr w:type="gramEnd"/>
            <w:r w:rsidRPr="009840F8">
              <w:t xml:space="preserve"> </w:t>
            </w:r>
            <w:proofErr w:type="spellStart"/>
            <w:r w:rsidRPr="009840F8">
              <w:t>информац</w:t>
            </w:r>
            <w:r w:rsidRPr="009840F8">
              <w:t>и</w:t>
            </w:r>
            <w:r w:rsidRPr="009840F8">
              <w:t>онно-обра</w:t>
            </w:r>
            <w:proofErr w:type="spellEnd"/>
            <w:r w:rsidR="005C1742" w:rsidRPr="005C1742">
              <w:t xml:space="preserve">  </w:t>
            </w:r>
          </w:p>
          <w:p w:rsidR="005C1742" w:rsidRPr="005C529B" w:rsidRDefault="005C1742" w:rsidP="005C1742">
            <w:pPr>
              <w:pStyle w:val="a4"/>
              <w:spacing w:line="276" w:lineRule="auto"/>
              <w:jc w:val="both"/>
            </w:pPr>
          </w:p>
          <w:p w:rsidR="005C1742" w:rsidRDefault="005C1742" w:rsidP="005C1742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5C1742" w:rsidRDefault="005C1742" w:rsidP="005C1742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5C1742" w:rsidRDefault="005C1742" w:rsidP="005C1742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076DE9" w:rsidRPr="002B3FEE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среду организации.</w:t>
            </w:r>
          </w:p>
          <w:p w:rsidR="00076DE9" w:rsidRPr="002B3FEE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pStyle w:val="a4"/>
              <w:spacing w:line="240" w:lineRule="auto"/>
              <w:ind w:firstLine="720"/>
              <w:jc w:val="both"/>
              <w:rPr>
                <w:b/>
                <w:i/>
                <w:color w:val="FF0000"/>
              </w:rPr>
            </w:pPr>
          </w:p>
          <w:p w:rsidR="005E0AEC" w:rsidRPr="00E73D51" w:rsidRDefault="005E0AEC" w:rsidP="00FE6062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E73D51">
              <w:rPr>
                <w:b/>
              </w:rPr>
              <w:t>Условия организации образовательной деятельности для лиц с ОВЗ</w:t>
            </w:r>
          </w:p>
          <w:p w:rsidR="005E0AEC" w:rsidRPr="00E73D51" w:rsidRDefault="005E0AEC" w:rsidP="00FE6062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ния образования. В целях доступности получения высшего образования по образовательным пр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граммам инвалидами и лицами с ограниченными возможностями здоровья университетом обеспеч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вается: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ствами воспроизведения информации; </w:t>
            </w:r>
          </w:p>
          <w:p w:rsidR="005E0AEC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питания, туалетные и др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гие помещения университета, а также пребывания в указанных помещениях (наличие расширенных дверных проемов, поручней и других приспособлений).</w:t>
            </w:r>
          </w:p>
          <w:p w:rsidR="005D24C2" w:rsidRDefault="005D24C2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5D24C2" w:rsidRDefault="005D24C2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Рабочая программа обсуждена и рекомендована на заседании учебно-методического совета института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ицевой хирургии </w:t>
            </w:r>
          </w:p>
          <w:p w:rsidR="005D24C2" w:rsidRPr="00E73D51" w:rsidRDefault="005D24C2" w:rsidP="00FE6062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Протокол № 8 от 27.08.2019г.</w:t>
            </w:r>
          </w:p>
          <w:p w:rsidR="005E0AEC" w:rsidRPr="00E73D51" w:rsidRDefault="005E0AEC" w:rsidP="00FE606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9B" w:rsidRDefault="005C529B" w:rsidP="005C529B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C529B" w:rsidRDefault="005C529B" w:rsidP="005C529B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Директор ИС и ЧЛХ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М.Ш.</w:t>
            </w: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5C529B" w:rsidRDefault="005E0AEC" w:rsidP="005C529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4A0" w:rsidRPr="005C529B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50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85053" w:rsidRPr="00E73D51" w:rsidTr="000F76A6">
        <w:trPr>
          <w:trHeight w:val="24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5D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left="709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53" w:rsidRPr="00E73D51" w:rsidRDefault="0088505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3" w:rsidRPr="00E73D51" w:rsidRDefault="0088505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E7BE4" w:rsidRPr="00E73D51" w:rsidRDefault="007E7BE4" w:rsidP="00E73D51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C2A" w:rsidRPr="00E73D51" w:rsidRDefault="00685C2A" w:rsidP="00E73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73D51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7" w:rsidRDefault="00EF2A97" w:rsidP="001A70C8">
      <w:pPr>
        <w:spacing w:after="0" w:line="240" w:lineRule="auto"/>
      </w:pPr>
      <w:r>
        <w:separator/>
      </w:r>
    </w:p>
  </w:endnote>
  <w:endnote w:type="continuationSeparator" w:id="0">
    <w:p w:rsidR="00EF2A97" w:rsidRDefault="00EF2A97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7" w:rsidRDefault="00EF2A97" w:rsidP="001A70C8">
      <w:pPr>
        <w:spacing w:after="0" w:line="240" w:lineRule="auto"/>
      </w:pPr>
      <w:r>
        <w:separator/>
      </w:r>
    </w:p>
  </w:footnote>
  <w:footnote w:type="continuationSeparator" w:id="0">
    <w:p w:rsidR="00EF2A97" w:rsidRDefault="00EF2A97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1A7E"/>
    <w:multiLevelType w:val="hybridMultilevel"/>
    <w:tmpl w:val="0594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7"/>
  </w:num>
  <w:num w:numId="5">
    <w:abstractNumId w:val="15"/>
  </w:num>
  <w:num w:numId="6">
    <w:abstractNumId w:val="28"/>
  </w:num>
  <w:num w:numId="7">
    <w:abstractNumId w:val="24"/>
  </w:num>
  <w:num w:numId="8">
    <w:abstractNumId w:val="12"/>
  </w:num>
  <w:num w:numId="9">
    <w:abstractNumId w:val="31"/>
  </w:num>
  <w:num w:numId="10">
    <w:abstractNumId w:val="29"/>
  </w:num>
  <w:num w:numId="11">
    <w:abstractNumId w:val="11"/>
  </w:num>
  <w:num w:numId="12">
    <w:abstractNumId w:val="25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22"/>
  </w:num>
  <w:num w:numId="23">
    <w:abstractNumId w:val="14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0"/>
  </w:num>
  <w:num w:numId="29">
    <w:abstractNumId w:val="16"/>
  </w:num>
  <w:num w:numId="30">
    <w:abstractNumId w:val="9"/>
  </w:num>
  <w:num w:numId="31">
    <w:abstractNumId w:val="30"/>
  </w:num>
  <w:num w:numId="32">
    <w:abstractNumId w:val="27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119A6"/>
    <w:rsid w:val="00020FB9"/>
    <w:rsid w:val="00035873"/>
    <w:rsid w:val="00040CC4"/>
    <w:rsid w:val="000411FE"/>
    <w:rsid w:val="00041459"/>
    <w:rsid w:val="00063874"/>
    <w:rsid w:val="00067BE2"/>
    <w:rsid w:val="00076DE9"/>
    <w:rsid w:val="000935F5"/>
    <w:rsid w:val="00094660"/>
    <w:rsid w:val="000A0DA2"/>
    <w:rsid w:val="000B4E8A"/>
    <w:rsid w:val="000B6F81"/>
    <w:rsid w:val="000C1C0B"/>
    <w:rsid w:val="000C3B06"/>
    <w:rsid w:val="000D1CA0"/>
    <w:rsid w:val="000E23AD"/>
    <w:rsid w:val="000E4164"/>
    <w:rsid w:val="000E54BB"/>
    <w:rsid w:val="000E5F59"/>
    <w:rsid w:val="000F4752"/>
    <w:rsid w:val="000F4C6C"/>
    <w:rsid w:val="000F5B0F"/>
    <w:rsid w:val="000F76A6"/>
    <w:rsid w:val="00115D62"/>
    <w:rsid w:val="00124254"/>
    <w:rsid w:val="0013161F"/>
    <w:rsid w:val="0013367C"/>
    <w:rsid w:val="00136641"/>
    <w:rsid w:val="001404E1"/>
    <w:rsid w:val="00160646"/>
    <w:rsid w:val="00165524"/>
    <w:rsid w:val="00176515"/>
    <w:rsid w:val="001771E1"/>
    <w:rsid w:val="001924D5"/>
    <w:rsid w:val="001A1B5C"/>
    <w:rsid w:val="001A3AC3"/>
    <w:rsid w:val="001A70C8"/>
    <w:rsid w:val="001C0076"/>
    <w:rsid w:val="001C5238"/>
    <w:rsid w:val="001D4498"/>
    <w:rsid w:val="001F1159"/>
    <w:rsid w:val="00200E3C"/>
    <w:rsid w:val="002057DA"/>
    <w:rsid w:val="002059C4"/>
    <w:rsid w:val="002273A1"/>
    <w:rsid w:val="0023004C"/>
    <w:rsid w:val="00240EF9"/>
    <w:rsid w:val="0024116C"/>
    <w:rsid w:val="002411A1"/>
    <w:rsid w:val="00246085"/>
    <w:rsid w:val="00247AF1"/>
    <w:rsid w:val="00264811"/>
    <w:rsid w:val="00265EF9"/>
    <w:rsid w:val="00267841"/>
    <w:rsid w:val="00270E26"/>
    <w:rsid w:val="002739E3"/>
    <w:rsid w:val="002920CF"/>
    <w:rsid w:val="002942EF"/>
    <w:rsid w:val="002A1336"/>
    <w:rsid w:val="002A41E5"/>
    <w:rsid w:val="002C0883"/>
    <w:rsid w:val="002D0253"/>
    <w:rsid w:val="002F476A"/>
    <w:rsid w:val="002F49D0"/>
    <w:rsid w:val="002F6FCF"/>
    <w:rsid w:val="00307BEA"/>
    <w:rsid w:val="00321BFC"/>
    <w:rsid w:val="003223F0"/>
    <w:rsid w:val="003363A4"/>
    <w:rsid w:val="00345B6E"/>
    <w:rsid w:val="003478BB"/>
    <w:rsid w:val="00350D51"/>
    <w:rsid w:val="003634FE"/>
    <w:rsid w:val="00363F0E"/>
    <w:rsid w:val="00366F92"/>
    <w:rsid w:val="00370F1D"/>
    <w:rsid w:val="003744F5"/>
    <w:rsid w:val="0037739E"/>
    <w:rsid w:val="0038500E"/>
    <w:rsid w:val="003862D7"/>
    <w:rsid w:val="00386B77"/>
    <w:rsid w:val="003975B0"/>
    <w:rsid w:val="003A3E1A"/>
    <w:rsid w:val="003A6FD3"/>
    <w:rsid w:val="003B42D0"/>
    <w:rsid w:val="003E3412"/>
    <w:rsid w:val="004062A9"/>
    <w:rsid w:val="00411456"/>
    <w:rsid w:val="00412063"/>
    <w:rsid w:val="00416CFF"/>
    <w:rsid w:val="00437AA2"/>
    <w:rsid w:val="00457EDA"/>
    <w:rsid w:val="0049547D"/>
    <w:rsid w:val="00497047"/>
    <w:rsid w:val="004A5A9F"/>
    <w:rsid w:val="004A7F20"/>
    <w:rsid w:val="004B1972"/>
    <w:rsid w:val="004B525F"/>
    <w:rsid w:val="004C3CBA"/>
    <w:rsid w:val="004C4219"/>
    <w:rsid w:val="004F15FA"/>
    <w:rsid w:val="004F24E8"/>
    <w:rsid w:val="004F46DD"/>
    <w:rsid w:val="004F4960"/>
    <w:rsid w:val="00501774"/>
    <w:rsid w:val="00510725"/>
    <w:rsid w:val="005270CA"/>
    <w:rsid w:val="00530273"/>
    <w:rsid w:val="00532D99"/>
    <w:rsid w:val="005336C4"/>
    <w:rsid w:val="00540AA0"/>
    <w:rsid w:val="0054224E"/>
    <w:rsid w:val="00542E50"/>
    <w:rsid w:val="00543FEC"/>
    <w:rsid w:val="0055646C"/>
    <w:rsid w:val="0055728B"/>
    <w:rsid w:val="00563379"/>
    <w:rsid w:val="00565E9B"/>
    <w:rsid w:val="00566E49"/>
    <w:rsid w:val="00575DBF"/>
    <w:rsid w:val="0059418E"/>
    <w:rsid w:val="005A7ACE"/>
    <w:rsid w:val="005C1742"/>
    <w:rsid w:val="005C529B"/>
    <w:rsid w:val="005C72D3"/>
    <w:rsid w:val="005D24C2"/>
    <w:rsid w:val="005E0AEC"/>
    <w:rsid w:val="005F26FC"/>
    <w:rsid w:val="005F71D4"/>
    <w:rsid w:val="00601BB5"/>
    <w:rsid w:val="00601DB4"/>
    <w:rsid w:val="00606A9C"/>
    <w:rsid w:val="00610919"/>
    <w:rsid w:val="006238FA"/>
    <w:rsid w:val="00625F0A"/>
    <w:rsid w:val="00626363"/>
    <w:rsid w:val="00642B77"/>
    <w:rsid w:val="00654EDC"/>
    <w:rsid w:val="00661FEC"/>
    <w:rsid w:val="0066349F"/>
    <w:rsid w:val="006635DF"/>
    <w:rsid w:val="00667F56"/>
    <w:rsid w:val="006823F7"/>
    <w:rsid w:val="00685C2A"/>
    <w:rsid w:val="00691A5C"/>
    <w:rsid w:val="00691E87"/>
    <w:rsid w:val="006A1A75"/>
    <w:rsid w:val="006A203F"/>
    <w:rsid w:val="006A3DF8"/>
    <w:rsid w:val="006A64A2"/>
    <w:rsid w:val="006C6853"/>
    <w:rsid w:val="006C6F22"/>
    <w:rsid w:val="006D709B"/>
    <w:rsid w:val="006E2E8E"/>
    <w:rsid w:val="006F408D"/>
    <w:rsid w:val="006F621E"/>
    <w:rsid w:val="006F7029"/>
    <w:rsid w:val="00705EB0"/>
    <w:rsid w:val="00736CCF"/>
    <w:rsid w:val="00741FAC"/>
    <w:rsid w:val="00744636"/>
    <w:rsid w:val="00747AEE"/>
    <w:rsid w:val="00751AC4"/>
    <w:rsid w:val="00753DD7"/>
    <w:rsid w:val="00755851"/>
    <w:rsid w:val="007564BB"/>
    <w:rsid w:val="00760FB3"/>
    <w:rsid w:val="0076398D"/>
    <w:rsid w:val="00764604"/>
    <w:rsid w:val="00765A87"/>
    <w:rsid w:val="00782A1D"/>
    <w:rsid w:val="0078783F"/>
    <w:rsid w:val="007917AF"/>
    <w:rsid w:val="007951F9"/>
    <w:rsid w:val="007A25E3"/>
    <w:rsid w:val="007A3966"/>
    <w:rsid w:val="007A5254"/>
    <w:rsid w:val="007B1F6D"/>
    <w:rsid w:val="007B2AE7"/>
    <w:rsid w:val="007B33C7"/>
    <w:rsid w:val="007B37A8"/>
    <w:rsid w:val="007B62BF"/>
    <w:rsid w:val="007C1A16"/>
    <w:rsid w:val="007D4ED6"/>
    <w:rsid w:val="007E010B"/>
    <w:rsid w:val="007E4D70"/>
    <w:rsid w:val="007E6154"/>
    <w:rsid w:val="007E7BE4"/>
    <w:rsid w:val="008027CC"/>
    <w:rsid w:val="00803F62"/>
    <w:rsid w:val="00811F13"/>
    <w:rsid w:val="00814D20"/>
    <w:rsid w:val="0082008B"/>
    <w:rsid w:val="00846080"/>
    <w:rsid w:val="00852469"/>
    <w:rsid w:val="00885053"/>
    <w:rsid w:val="00891FBD"/>
    <w:rsid w:val="00892CC4"/>
    <w:rsid w:val="00894CA9"/>
    <w:rsid w:val="008A3BC7"/>
    <w:rsid w:val="008B36EC"/>
    <w:rsid w:val="008B412E"/>
    <w:rsid w:val="008D08C3"/>
    <w:rsid w:val="008D37A1"/>
    <w:rsid w:val="008E3403"/>
    <w:rsid w:val="009049E3"/>
    <w:rsid w:val="0090505E"/>
    <w:rsid w:val="00905373"/>
    <w:rsid w:val="00910744"/>
    <w:rsid w:val="009147FE"/>
    <w:rsid w:val="00927068"/>
    <w:rsid w:val="00952CE5"/>
    <w:rsid w:val="009568C5"/>
    <w:rsid w:val="00960956"/>
    <w:rsid w:val="009614A7"/>
    <w:rsid w:val="009662BB"/>
    <w:rsid w:val="00967C8E"/>
    <w:rsid w:val="0097200E"/>
    <w:rsid w:val="00976C9E"/>
    <w:rsid w:val="0099356B"/>
    <w:rsid w:val="009A4522"/>
    <w:rsid w:val="009A58F1"/>
    <w:rsid w:val="009B36AF"/>
    <w:rsid w:val="009C2A5D"/>
    <w:rsid w:val="009D3B16"/>
    <w:rsid w:val="009D6F0C"/>
    <w:rsid w:val="009E2F7C"/>
    <w:rsid w:val="00A01027"/>
    <w:rsid w:val="00A12532"/>
    <w:rsid w:val="00A20BBF"/>
    <w:rsid w:val="00A21E26"/>
    <w:rsid w:val="00A23956"/>
    <w:rsid w:val="00A3105A"/>
    <w:rsid w:val="00A31CFC"/>
    <w:rsid w:val="00A32E1A"/>
    <w:rsid w:val="00A35358"/>
    <w:rsid w:val="00A4110E"/>
    <w:rsid w:val="00A431C0"/>
    <w:rsid w:val="00A47B1C"/>
    <w:rsid w:val="00A53CA1"/>
    <w:rsid w:val="00A60484"/>
    <w:rsid w:val="00A67D5D"/>
    <w:rsid w:val="00A7120B"/>
    <w:rsid w:val="00A71FDF"/>
    <w:rsid w:val="00A74920"/>
    <w:rsid w:val="00A9591C"/>
    <w:rsid w:val="00AA2F95"/>
    <w:rsid w:val="00AA5F0E"/>
    <w:rsid w:val="00AA71FF"/>
    <w:rsid w:val="00AB4A44"/>
    <w:rsid w:val="00AC39EE"/>
    <w:rsid w:val="00AD17CF"/>
    <w:rsid w:val="00AE1DC0"/>
    <w:rsid w:val="00AE3F97"/>
    <w:rsid w:val="00AE66C9"/>
    <w:rsid w:val="00AF089A"/>
    <w:rsid w:val="00AF3956"/>
    <w:rsid w:val="00AF7581"/>
    <w:rsid w:val="00B035B8"/>
    <w:rsid w:val="00B04BE0"/>
    <w:rsid w:val="00B0595C"/>
    <w:rsid w:val="00B143EC"/>
    <w:rsid w:val="00B154F4"/>
    <w:rsid w:val="00B1589B"/>
    <w:rsid w:val="00B42CAC"/>
    <w:rsid w:val="00B430D8"/>
    <w:rsid w:val="00B507DD"/>
    <w:rsid w:val="00B50FF0"/>
    <w:rsid w:val="00B53138"/>
    <w:rsid w:val="00B56F10"/>
    <w:rsid w:val="00B67713"/>
    <w:rsid w:val="00B67CF0"/>
    <w:rsid w:val="00B72CAE"/>
    <w:rsid w:val="00BA59D1"/>
    <w:rsid w:val="00BB1384"/>
    <w:rsid w:val="00BB48AA"/>
    <w:rsid w:val="00BD4A03"/>
    <w:rsid w:val="00BE3AE9"/>
    <w:rsid w:val="00C02C63"/>
    <w:rsid w:val="00C0423C"/>
    <w:rsid w:val="00C042A3"/>
    <w:rsid w:val="00C06D8A"/>
    <w:rsid w:val="00C14104"/>
    <w:rsid w:val="00C273D8"/>
    <w:rsid w:val="00C30390"/>
    <w:rsid w:val="00C303C8"/>
    <w:rsid w:val="00C34D9E"/>
    <w:rsid w:val="00C473E5"/>
    <w:rsid w:val="00C476E6"/>
    <w:rsid w:val="00C5414E"/>
    <w:rsid w:val="00C54A96"/>
    <w:rsid w:val="00C601F9"/>
    <w:rsid w:val="00C953F7"/>
    <w:rsid w:val="00CA60D6"/>
    <w:rsid w:val="00CA7A4B"/>
    <w:rsid w:val="00CB171E"/>
    <w:rsid w:val="00CB1B7A"/>
    <w:rsid w:val="00CB4CED"/>
    <w:rsid w:val="00CC0972"/>
    <w:rsid w:val="00CC77E6"/>
    <w:rsid w:val="00CD1744"/>
    <w:rsid w:val="00CD2E7A"/>
    <w:rsid w:val="00CD6296"/>
    <w:rsid w:val="00CE28A5"/>
    <w:rsid w:val="00CE5E74"/>
    <w:rsid w:val="00D025E7"/>
    <w:rsid w:val="00D11328"/>
    <w:rsid w:val="00D205BA"/>
    <w:rsid w:val="00D35AF9"/>
    <w:rsid w:val="00D6291E"/>
    <w:rsid w:val="00D70175"/>
    <w:rsid w:val="00D713ED"/>
    <w:rsid w:val="00D761DE"/>
    <w:rsid w:val="00D840CD"/>
    <w:rsid w:val="00D934AA"/>
    <w:rsid w:val="00D94589"/>
    <w:rsid w:val="00DB1567"/>
    <w:rsid w:val="00DC16FF"/>
    <w:rsid w:val="00DC7EE6"/>
    <w:rsid w:val="00DD0230"/>
    <w:rsid w:val="00DD712A"/>
    <w:rsid w:val="00DE0D0C"/>
    <w:rsid w:val="00DE0E9A"/>
    <w:rsid w:val="00DF2001"/>
    <w:rsid w:val="00DF471F"/>
    <w:rsid w:val="00DF668C"/>
    <w:rsid w:val="00E05797"/>
    <w:rsid w:val="00E10C39"/>
    <w:rsid w:val="00E14549"/>
    <w:rsid w:val="00E23B7F"/>
    <w:rsid w:val="00E34B40"/>
    <w:rsid w:val="00E467A9"/>
    <w:rsid w:val="00E479C4"/>
    <w:rsid w:val="00E56DF9"/>
    <w:rsid w:val="00E63912"/>
    <w:rsid w:val="00E63AA0"/>
    <w:rsid w:val="00E6606B"/>
    <w:rsid w:val="00E73D51"/>
    <w:rsid w:val="00E73F4B"/>
    <w:rsid w:val="00E746FD"/>
    <w:rsid w:val="00E75871"/>
    <w:rsid w:val="00E77069"/>
    <w:rsid w:val="00E81C46"/>
    <w:rsid w:val="00E85A93"/>
    <w:rsid w:val="00E901C0"/>
    <w:rsid w:val="00EA44F3"/>
    <w:rsid w:val="00EB0C24"/>
    <w:rsid w:val="00EC16FB"/>
    <w:rsid w:val="00EC32F6"/>
    <w:rsid w:val="00EC34A0"/>
    <w:rsid w:val="00EC5E84"/>
    <w:rsid w:val="00EF1419"/>
    <w:rsid w:val="00EF2A97"/>
    <w:rsid w:val="00EF575E"/>
    <w:rsid w:val="00F02106"/>
    <w:rsid w:val="00F0326B"/>
    <w:rsid w:val="00F033E2"/>
    <w:rsid w:val="00F17036"/>
    <w:rsid w:val="00F23D01"/>
    <w:rsid w:val="00F30F3F"/>
    <w:rsid w:val="00F40034"/>
    <w:rsid w:val="00F64847"/>
    <w:rsid w:val="00F71EBC"/>
    <w:rsid w:val="00F71F59"/>
    <w:rsid w:val="00F72AA4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437D"/>
    <w:rsid w:val="00FA644B"/>
    <w:rsid w:val="00FC4757"/>
    <w:rsid w:val="00FD2829"/>
    <w:rsid w:val="00FE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pathseparator">
    <w:name w:val="path__separator"/>
    <w:basedOn w:val="a0"/>
    <w:rsid w:val="00076DE9"/>
  </w:style>
  <w:style w:type="paragraph" w:styleId="afc">
    <w:name w:val="No Spacing"/>
    <w:uiPriority w:val="1"/>
    <w:qFormat/>
    <w:rsid w:val="00076D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4604.html" TargetMode="External"/><Relationship Id="rId13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18" Type="http://schemas.openxmlformats.org/officeDocument/2006/relationships/hyperlink" Target="https://www.studmed.ru/koen-s-berns-r-endodontiya_b48d935fca2.html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turrm.at.ua/Literatura/books/Borovsky-terapevticheskaya_stomatologia-2004.pdf" TargetMode="External"/><Relationship Id="rId17" Type="http://schemas.openxmlformats.org/officeDocument/2006/relationships/hyperlink" Target="http://blogzona.ru/blogs/SH_Group/yazyk-zerkalo-organizma-klinich-rukovodstvo-dlya-vrachey-banchenko-g-v-maksimovskiy-yu-m-pdf/" TargetMode="External"/><Relationship Id="rId25" Type="http://schemas.openxmlformats.org/officeDocument/2006/relationships/hyperlink" Target="http://www.scopu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ngmed.info/knigi/Gastroenterologiya/book_135/Yazyk_-_zerkalo_organizma-Banchenko_GV_Maksimovskiy_YuM_Grinin_VM-2000-pdf" TargetMode="External"/><Relationship Id="rId20" Type="http://schemas.openxmlformats.org/officeDocument/2006/relationships/hyperlink" Target="http://www.booksshare.net/index.php?id1=4&amp;category=med&amp;author=borovskiy-ev&amp;book=zabolevaniye2001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maksimovskiy-yum-maksimovskaya-ln-orehova-lyu-terapevticheskaya-stomatologiya_27630dac8ad.html" TargetMode="External"/><Relationship Id="rId24" Type="http://schemas.openxmlformats.org/officeDocument/2006/relationships/hyperlink" Target="http://thomsonreuter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pressa/literatura/newtehnology/" TargetMode="External"/><Relationship Id="rId23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8" Type="http://schemas.openxmlformats.org/officeDocument/2006/relationships/hyperlink" Target="http://iprbookshop.ru/" TargetMode="External"/><Relationship Id="rId10" Type="http://schemas.openxmlformats.org/officeDocument/2006/relationships/hyperlink" Target="https://www.studmed.ru/dmitrieva-la-maksimovskiy-yum-terapevticheskaya-stomatologiya-nacionalnaoe-rukovodstvo_15ba92ba1fb.html" TargetMode="External"/><Relationship Id="rId19" Type="http://schemas.openxmlformats.org/officeDocument/2006/relationships/hyperlink" Target="https://mexalib.com/view/42740" TargetMode="External"/><Relationship Id="rId31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6691.html" TargetMode="External"/><Relationship Id="rId14" Type="http://schemas.openxmlformats.org/officeDocument/2006/relationships/hyperlink" Target="https://www.studmed.ru/barer-gm-racionalnaya-farmakoterapiya-v-stomatologii_661bb664b08.html" TargetMode="External"/><Relationship Id="rId22" Type="http://schemas.openxmlformats.org/officeDocument/2006/relationships/hyperlink" Target="http://www.diss.rsl.ru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lib.kbsu.ru/ElectronicResources/Electronic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4D9F-8109-4737-BD1C-3CB515FF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25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275</cp:revision>
  <cp:lastPrinted>2019-01-23T11:14:00Z</cp:lastPrinted>
  <dcterms:created xsi:type="dcterms:W3CDTF">2015-08-22T10:17:00Z</dcterms:created>
  <dcterms:modified xsi:type="dcterms:W3CDTF">2021-12-27T07:21:00Z</dcterms:modified>
</cp:coreProperties>
</file>